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spacing w:before="240" w:after="0"/>
        <w:contextualSpacing/>
        <w:rPr>
          <w:highlight w:val="none"/>
          <w:shd w:fill="auto" w:val="clear"/>
        </w:rPr>
      </w:pPr>
      <w:bookmarkStart w:id="0" w:name="_Toc92292336"/>
      <w:bookmarkStart w:id="1" w:name="_Toc87517498"/>
      <w:bookmarkEnd w:id="0"/>
      <w:bookmarkEnd w:id="1"/>
      <w:r>
        <w:rPr>
          <w:shd w:fill="auto" w:val="clear"/>
        </w:rPr>
        <w:t xml:space="preserve">Grand Prix DU CLOU </w:t>
      </w:r>
    </w:p>
    <w:p>
      <w:pPr>
        <w:pStyle w:val="00Ligneetroite"/>
        <w:rPr>
          <w:highlight w:val="yellow"/>
        </w:rPr>
      </w:pPr>
      <w:r>
        <w:rPr>
          <w:highlight w:val="yellow"/>
        </w:rPr>
      </w:r>
    </w:p>
    <w:p>
      <w:pPr>
        <w:pStyle w:val="05CGParag"/>
        <w:rPr>
          <w:rFonts w:ascii="Calibri" w:hAnsi="Calibri" w:eastAsia="Calibri" w:cs="Calibri"/>
          <w:b/>
          <w:b/>
          <w:color w:val="auto"/>
          <w:kern w:val="0"/>
          <w:sz w:val="22"/>
          <w:szCs w:val="22"/>
          <w:highlight w:val="none"/>
          <w:shd w:fill="auto" w:val="clear"/>
          <w:lang w:val="fr-FR" w:eastAsia="fr-FR" w:bidi="ar-SA"/>
        </w:rPr>
      </w:pPr>
      <w:r>
        <w:rPr>
          <w:rFonts w:eastAsia="Calibri" w:cs="Calibri"/>
          <w:b/>
          <w:color w:val="000000"/>
          <w:kern w:val="0"/>
          <w:sz w:val="22"/>
          <w:szCs w:val="22"/>
          <w:shd w:fill="auto" w:val="clear"/>
          <w:lang w:val="fr-FR" w:eastAsia="fr-FR" w:bidi="ar-SA"/>
        </w:rPr>
        <w:t>21 ET 22 MAI  2022</w:t>
      </w:r>
    </w:p>
    <w:p>
      <w:pPr>
        <w:pStyle w:val="05CGParag"/>
        <w:rPr/>
      </w:pPr>
      <w:r>
        <w:rPr/>
        <w:t>Règlement particulier de l'épreuve</w:t>
      </w:r>
    </w:p>
    <w:p>
      <w:pPr>
        <w:pStyle w:val="04CParag"/>
        <w:rPr/>
      </w:pPr>
      <w:r>
        <w:rPr/>
        <w:t xml:space="preserve">Ce règlement complète les règlements généraux de la </w:t>
      </w:r>
      <w:r>
        <w:rPr>
          <w:b/>
          <w:i/>
        </w:rPr>
        <w:t xml:space="preserve">ffgolf </w:t>
      </w:r>
      <w:r>
        <w:rPr/>
        <w:t>et de la Ligue.</w:t>
      </w:r>
    </w:p>
    <w:p>
      <w:pPr>
        <w:pStyle w:val="04CParag"/>
        <w:rPr/>
      </w:pPr>
      <w:r>
        <w:rPr/>
        <w:t>Les conditions des règlements particuliers priment sur celles des règlements généraux.</w:t>
      </w:r>
    </w:p>
    <w:p>
      <w:pPr>
        <w:pStyle w:val="Titre3"/>
        <w:rPr/>
      </w:pPr>
      <w:r>
        <w:rPr/>
        <w:t>Calendrier</w:t>
      </w:r>
    </w:p>
    <w:p>
      <w:pPr>
        <w:pStyle w:val="01Paragraphe1"/>
        <w:rPr/>
      </w:pPr>
      <w:r>
        <w:rPr/>
        <w:t xml:space="preserve">Clôture des inscriptions : </w:t>
      </w:r>
      <w:r>
        <w:rPr>
          <w:rFonts w:eastAsia="Calibri" w:cs="Calibri"/>
          <w:b/>
          <w:color w:val="000000"/>
          <w:kern w:val="0"/>
          <w:sz w:val="22"/>
          <w:szCs w:val="22"/>
          <w:shd w:fill="auto" w:val="clear"/>
          <w:lang w:val="fr-FR" w:eastAsia="fr-FR" w:bidi="ar-SA"/>
        </w:rPr>
        <w:t xml:space="preserve">LUNDI 9 MAI </w:t>
      </w:r>
    </w:p>
    <w:p>
      <w:pPr>
        <w:pStyle w:val="01Paragraphe1"/>
        <w:rPr/>
      </w:pPr>
      <w:r>
        <w:rPr/>
        <w:t xml:space="preserve">Publication Liste des inscrits et Liste d’attente : </w:t>
      </w:r>
      <w:r>
        <w:rPr>
          <w:rFonts w:eastAsia="Calibri" w:cs="Calibri"/>
          <w:b/>
          <w:color w:val="000000"/>
          <w:kern w:val="0"/>
          <w:sz w:val="22"/>
          <w:szCs w:val="22"/>
          <w:shd w:fill="auto" w:val="clear"/>
          <w:lang w:val="fr-FR" w:eastAsia="fr-FR" w:bidi="ar-SA"/>
        </w:rPr>
        <w:t xml:space="preserve">MARDI 10 MAI </w:t>
      </w:r>
    </w:p>
    <w:p>
      <w:pPr>
        <w:pStyle w:val="01Paragraphe1"/>
        <w:rPr/>
      </w:pPr>
      <w:r>
        <w:rPr/>
        <w:t xml:space="preserve">Publication des départs : </w:t>
      </w:r>
      <w:r>
        <w:rPr>
          <w:rFonts w:eastAsia="Calibri" w:cs="Calibri"/>
          <w:b/>
          <w:color w:val="000000"/>
          <w:kern w:val="0"/>
          <w:sz w:val="22"/>
          <w:szCs w:val="22"/>
          <w:shd w:fill="auto" w:val="clear"/>
          <w:lang w:val="fr-FR" w:eastAsia="fr-FR" w:bidi="ar-SA"/>
        </w:rPr>
        <w:t xml:space="preserve">JEUDI 19  MAI </w:t>
      </w:r>
    </w:p>
    <w:p>
      <w:pPr>
        <w:pStyle w:val="Titre3"/>
        <w:rPr/>
      </w:pPr>
      <w:r>
        <w:rPr/>
        <w:t>Conditions de participation</w:t>
      </w:r>
    </w:p>
    <w:p>
      <w:pPr>
        <w:pStyle w:val="01Paragraphe1"/>
        <w:rPr/>
      </w:pPr>
      <w:bookmarkStart w:id="2" w:name="_Hlk49840406"/>
      <w:bookmarkEnd w:id="2"/>
      <w:r>
        <w:rPr/>
        <w:t>L’épreuve est ouverte aux joueuses et joueurs amateurs licenciés à la Fédération Française de Golf ou dans une fédération étrangère reconnue, avec une l</w:t>
      </w:r>
      <w:bookmarkStart w:id="3" w:name="_Hlk498422267"/>
      <w:r>
        <w:rPr/>
        <w:t>icence active, un certificat médical ou questionnaire santé, de l’année en cours, enregistré et un droit de jeu fédéral acquitté à la date du contrôle des inscrits.</w:t>
      </w:r>
    </w:p>
    <w:p>
      <w:pPr>
        <w:pStyle w:val="00Ligneetroite"/>
        <w:rPr/>
      </w:pPr>
      <w:r>
        <w:rPr/>
      </w:r>
      <w:bookmarkStart w:id="4" w:name="_Hlk498404061"/>
      <w:bookmarkStart w:id="5" w:name="_Hlk534820322"/>
      <w:bookmarkStart w:id="6" w:name="_Hlk498404061"/>
      <w:bookmarkStart w:id="7" w:name="_Hlk534820322"/>
      <w:bookmarkEnd w:id="6"/>
      <w:bookmarkEnd w:id="7"/>
    </w:p>
    <w:p>
      <w:pPr>
        <w:pStyle w:val="02GParag"/>
        <w:rPr/>
      </w:pPr>
      <w:bookmarkStart w:id="8" w:name="_Hlk5348203221"/>
      <w:bookmarkEnd w:id="3"/>
      <w:bookmarkEnd w:id="8"/>
      <w:r>
        <w:rPr/>
        <w:t>Limitation d’Index</w:t>
      </w:r>
      <w:bookmarkStart w:id="9" w:name="_Hlk534820678"/>
      <w:bookmarkEnd w:id="9"/>
    </w:p>
    <w:p>
      <w:pPr>
        <w:pStyle w:val="11Puce"/>
        <w:numPr>
          <w:ilvl w:val="0"/>
          <w:numId w:val="2"/>
        </w:numPr>
        <w:rPr/>
      </w:pPr>
      <w:r>
        <w:rPr/>
        <w:t xml:space="preserve">Joueuses dont l’index est inférieur ou égal à </w:t>
      </w:r>
      <w:r>
        <w:rPr>
          <w:rFonts w:eastAsia="Calibri" w:cs="Calibri"/>
          <w:color w:val="000000"/>
          <w:kern w:val="0"/>
          <w:sz w:val="22"/>
          <w:szCs w:val="14"/>
          <w:shd w:fill="auto" w:val="clear"/>
          <w:lang w:val="fr-FR" w:eastAsia="fr-FR" w:bidi="ar-SA"/>
        </w:rPr>
        <w:t>24,4</w:t>
      </w:r>
    </w:p>
    <w:p>
      <w:pPr>
        <w:pStyle w:val="11Puce"/>
        <w:numPr>
          <w:ilvl w:val="0"/>
          <w:numId w:val="2"/>
        </w:numPr>
        <w:rPr/>
      </w:pPr>
      <w:r>
        <w:rPr/>
        <w:t xml:space="preserve">Joueurs dont l’index est inférieur ou égal à </w:t>
      </w:r>
      <w:r>
        <w:rPr>
          <w:rFonts w:eastAsia="Calibri" w:cs="Calibri"/>
          <w:color w:val="000000"/>
          <w:kern w:val="0"/>
          <w:sz w:val="22"/>
          <w:szCs w:val="14"/>
          <w:shd w:fill="auto" w:val="clear"/>
          <w:lang w:val="fr-FR" w:eastAsia="fr-FR" w:bidi="ar-SA"/>
        </w:rPr>
        <w:t>20,4</w:t>
      </w:r>
    </w:p>
    <w:p>
      <w:pPr>
        <w:pStyle w:val="01Paragraphe1"/>
        <w:rPr/>
      </w:pPr>
      <w:r>
        <w:rPr/>
        <w:t>Cette limite d’index s’applique uniquement aux joueurs qui ne rentrent dans le champ qu’à partir de ce critère.</w:t>
      </w:r>
      <w:bookmarkStart w:id="10" w:name="_Hlk49840427"/>
      <w:bookmarkStart w:id="11" w:name="_Hlk534831812"/>
      <w:bookmarkEnd w:id="10"/>
      <w:bookmarkEnd w:id="11"/>
    </w:p>
    <w:p>
      <w:pPr>
        <w:pStyle w:val="Titre3"/>
        <w:rPr/>
      </w:pPr>
      <w:r>
        <w:rPr/>
        <w:t>Formule de jeu</w:t>
      </w:r>
    </w:p>
    <w:p>
      <w:pPr>
        <w:pStyle w:val="01Paragraphe1"/>
        <w:rPr/>
      </w:pPr>
      <w:r>
        <w:rPr/>
        <w:t>36 trous Stroke-Play en Individuel Brut – 18 trous par jour.</w:t>
      </w:r>
    </w:p>
    <w:p>
      <w:pPr>
        <w:pStyle w:val="02GParag"/>
        <w:rPr/>
      </w:pPr>
      <w:r>
        <w:rPr/>
        <w:t>Séries - Marques de départ</w:t>
      </w:r>
    </w:p>
    <w:p>
      <w:pPr>
        <w:pStyle w:val="01Paragraphe1"/>
        <w:rPr/>
      </w:pPr>
      <w:r>
        <w:rPr/>
        <w:t>Une série Dames : Départs des repères IV (bleu).</w:t>
      </w:r>
    </w:p>
    <w:p>
      <w:pPr>
        <w:pStyle w:val="01Paragraphe1"/>
        <w:rPr/>
      </w:pPr>
      <w:r>
        <w:rPr/>
        <w:t xml:space="preserve">Une série Messieurs : Départs des repères II (blanc). </w:t>
      </w:r>
    </w:p>
    <w:p>
      <w:pPr>
        <w:pStyle w:val="02GParag"/>
        <w:rPr/>
      </w:pPr>
      <w:r>
        <w:rPr/>
        <w:t>Départage</w:t>
      </w:r>
    </w:p>
    <w:p>
      <w:pPr>
        <w:pStyle w:val="01Paragraphe1"/>
        <w:rPr/>
      </w:pPr>
      <w:r>
        <w:rPr/>
        <w:t xml:space="preserve">En cas d'égalité́ pour la première place pour chaque catégorie, les joueurs concernés partent en play off « trou par trou » sur le ou les trous désignés par le Comité́ d’Epreuve. </w:t>
      </w:r>
    </w:p>
    <w:p>
      <w:pPr>
        <w:pStyle w:val="01Paragraphe1"/>
        <w:rPr/>
      </w:pPr>
      <w:r>
        <w:rPr/>
        <w:t>Si le play-off est interrompu (conditions climatiques, manque de visibilité, …), le départage se fait sur le score du dernier tour, puis les 9, 6, 3 et le dernier trou puis trou par trou en remontant.</w:t>
      </w:r>
    </w:p>
    <w:p>
      <w:pPr>
        <w:pStyle w:val="Titre3"/>
        <w:rPr/>
      </w:pPr>
      <w:r>
        <w:rPr/>
        <w:t>Engagement</w:t>
      </w:r>
    </w:p>
    <w:p>
      <w:pPr>
        <w:pStyle w:val="02GParag"/>
        <w:rPr/>
      </w:pPr>
      <w:r>
        <w:rPr/>
        <w:t>Inscriptions</w:t>
      </w:r>
    </w:p>
    <w:p>
      <w:pPr>
        <w:pStyle w:val="01Paragraphe1"/>
        <w:rPr/>
      </w:pPr>
      <w:r>
        <w:rPr/>
        <w:t xml:space="preserve">Les inscriptions se font uniquement par courrier, accompagné du droit d’engagement, adressé au </w:t>
      </w:r>
      <w:bookmarkStart w:id="12" w:name="_Hlk49857221"/>
      <w:bookmarkEnd w:id="12"/>
      <w:r>
        <w:rPr>
          <w:rFonts w:eastAsia="Calibri" w:cs="Calibri"/>
          <w:color w:val="000000"/>
          <w:kern w:val="0"/>
          <w:sz w:val="22"/>
          <w:szCs w:val="22"/>
          <w:shd w:fill="auto" w:val="clear"/>
          <w:lang w:val="fr-FR" w:eastAsia="fr-FR" w:bidi="ar-SA"/>
        </w:rPr>
        <w:t xml:space="preserve"> GOLF DU CLOU 01330 VILLARS LES DOMBES</w:t>
      </w:r>
    </w:p>
    <w:p>
      <w:pPr>
        <w:pStyle w:val="02GParag"/>
        <w:rPr/>
      </w:pPr>
      <w:r>
        <w:rPr/>
        <w:t>Droits d’engagement</w:t>
      </w:r>
    </w:p>
    <w:p>
      <w:pPr>
        <w:pStyle w:val="21Puces"/>
        <w:numPr>
          <w:ilvl w:val="0"/>
          <w:numId w:val="1"/>
        </w:numPr>
        <w:tabs>
          <w:tab w:val="left" w:pos="1701" w:leader="none"/>
          <w:tab w:val="decimal" w:pos="3969" w:leader="none"/>
          <w:tab w:val="left" w:pos="5103" w:leader="none"/>
        </w:tabs>
        <w:ind w:left="851" w:hanging="284"/>
        <w:rPr/>
      </w:pPr>
      <w:r>
        <w:rPr/>
        <w:t xml:space="preserve">Joueurs de 25 ans et plus: </w:t>
        <w:tab/>
        <w:t>80 €</w:t>
        <w:tab/>
        <w:t>Abonnés Golf :</w:t>
        <w:tab/>
        <w:tab/>
      </w:r>
      <w:r>
        <w:rPr>
          <w:shd w:fill="auto" w:val="clear"/>
        </w:rPr>
        <w:t>40 €</w:t>
      </w:r>
    </w:p>
    <w:p>
      <w:pPr>
        <w:pStyle w:val="21Puces"/>
        <w:numPr>
          <w:ilvl w:val="0"/>
          <w:numId w:val="1"/>
        </w:numPr>
        <w:tabs>
          <w:tab w:val="left" w:pos="1701" w:leader="none"/>
          <w:tab w:val="decimal" w:pos="3969" w:leader="none"/>
          <w:tab w:val="left" w:pos="5103" w:leader="none"/>
        </w:tabs>
        <w:ind w:left="851" w:hanging="284"/>
        <w:rPr/>
      </w:pPr>
      <w:r>
        <w:rPr/>
        <w:t>Joueurs de 19 à 24 ans :</w:t>
        <w:tab/>
        <w:t>40 €</w:t>
        <w:tab/>
        <w:t>Abonnés Golf :</w:t>
        <w:tab/>
        <w:tab/>
      </w:r>
      <w:r>
        <w:rPr>
          <w:shd w:fill="auto" w:val="clear"/>
        </w:rPr>
        <w:t>20 €</w:t>
      </w:r>
    </w:p>
    <w:p>
      <w:pPr>
        <w:pStyle w:val="21Puces"/>
        <w:numPr>
          <w:ilvl w:val="0"/>
          <w:numId w:val="1"/>
        </w:numPr>
        <w:tabs>
          <w:tab w:val="left" w:pos="1701" w:leader="none"/>
          <w:tab w:val="decimal" w:pos="3969" w:leader="none"/>
          <w:tab w:val="left" w:pos="5103" w:leader="none"/>
        </w:tabs>
        <w:ind w:left="851" w:hanging="284"/>
        <w:rPr/>
      </w:pPr>
      <w:r>
        <w:rPr/>
        <w:t>Joueurs de moins de 19 ans :</w:t>
        <w:tab/>
        <w:t>40 €</w:t>
        <w:tab/>
        <w:t>Abonnés Golf :</w:t>
        <w:tab/>
        <w:tab/>
      </w:r>
      <w:r>
        <w:rPr>
          <w:shd w:fill="auto" w:val="clear"/>
        </w:rPr>
        <w:t>20 €</w:t>
      </w:r>
    </w:p>
    <w:p>
      <w:pPr>
        <w:pStyle w:val="01Paragraphe1"/>
        <w:rPr/>
      </w:pPr>
      <w:r>
        <w:rPr/>
        <w:t>Un joueur ou une joueuse, qui possède une licence française, mais qui s’inscrit en tant que non licencié ffgolf à un Grand Prix ne pourra pas bénéficier des réductions tarifaires ci-dessus.</w:t>
      </w:r>
    </w:p>
    <w:p>
      <w:pPr>
        <w:pStyle w:val="02GParag"/>
        <w:rPr/>
      </w:pPr>
      <w:r>
        <w:rPr/>
        <w:t>Clôture des engagements</w:t>
      </w:r>
    </w:p>
    <w:p>
      <w:pPr>
        <w:pStyle w:val="01Paragraphe1"/>
        <w:rPr/>
      </w:pPr>
      <w:r>
        <w:rPr/>
        <w:t>Seule la date de réception des inscriptions par courrier est prise en compte dans l’établissement de la liste officielle. Tout joueur déclarant forfait après la date limite d’inscription reste redevable du droit d’engagement.</w:t>
      </w:r>
      <w:bookmarkStart w:id="13" w:name="_Hlk49857448"/>
      <w:bookmarkEnd w:id="13"/>
    </w:p>
    <w:p>
      <w:pPr>
        <w:pStyle w:val="02GParag"/>
        <w:rPr/>
      </w:pPr>
      <w:r>
        <w:rPr/>
        <w:t>Liste des inscrits</w:t>
      </w:r>
    </w:p>
    <w:p>
      <w:pPr>
        <w:pStyle w:val="01Paragraphe1"/>
        <w:rPr/>
      </w:pPr>
      <w:r>
        <w:rPr/>
        <w:t xml:space="preserve">Les joueurs n’étant pas en conformité avec les conditions de participation (licence, certificat médical et droit de jeu fédéral) la veille de la publication de la liste des inscrits, sont retirés de la liste des inscrits. </w:t>
      </w:r>
    </w:p>
    <w:p>
      <w:pPr>
        <w:pStyle w:val="02GParag"/>
        <w:rPr/>
      </w:pPr>
      <w:r>
        <w:rPr/>
        <w:t>Nombre de joueurs</w:t>
      </w:r>
    </w:p>
    <w:p>
      <w:pPr>
        <w:pStyle w:val="02GPara"/>
        <w:rPr>
          <w:highlight w:val="cyan"/>
        </w:rPr>
      </w:pPr>
      <w:r>
        <w:rPr>
          <w:highlight w:val="cyan"/>
        </w:rPr>
      </w:r>
    </w:p>
    <w:p>
      <w:pPr>
        <w:pStyle w:val="00Ligneetroite"/>
        <w:rPr/>
      </w:pPr>
      <w:r>
        <w:rPr/>
      </w:r>
    </w:p>
    <w:tbl>
      <w:tblPr>
        <w:tblStyle w:val="Grilledutableau"/>
        <w:tblW w:w="8784" w:type="dxa"/>
        <w:jc w:val="center"/>
        <w:tblInd w:w="0" w:type="dxa"/>
        <w:tblLayout w:type="fixed"/>
        <w:tblCellMar>
          <w:top w:w="0" w:type="dxa"/>
          <w:left w:w="108" w:type="dxa"/>
          <w:bottom w:w="0" w:type="dxa"/>
          <w:right w:w="108" w:type="dxa"/>
        </w:tblCellMar>
        <w:tblLook w:firstRow="0" w:noVBand="1" w:lastRow="0" w:firstColumn="0" w:lastColumn="0" w:noHBand="1" w:val="0600"/>
      </w:tblPr>
      <w:tblGrid>
        <w:gridCol w:w="2969"/>
        <w:gridCol w:w="2838"/>
        <w:gridCol w:w="2977"/>
      </w:tblGrid>
      <w:tr>
        <w:trPr/>
        <w:tc>
          <w:tcPr>
            <w:tcW w:w="2969" w:type="dxa"/>
            <w:tcBorders/>
            <w:vAlign w:val="center"/>
          </w:tcPr>
          <w:p>
            <w:pPr>
              <w:pStyle w:val="32GTableau"/>
              <w:widowControl w:val="false"/>
              <w:spacing w:before="0" w:after="0"/>
              <w:jc w:val="center"/>
              <w:rPr>
                <w:lang w:val="fr-FR" w:eastAsia="fr-FR" w:bidi="ar-SA"/>
              </w:rPr>
            </w:pPr>
            <w:r>
              <w:rPr>
                <w:lang w:val="fr-FR" w:eastAsia="fr-FR" w:bidi="ar-SA"/>
              </w:rPr>
              <w:t>Joueurs autorisé : Nb max</w:t>
            </w:r>
          </w:p>
        </w:tc>
        <w:tc>
          <w:tcPr>
            <w:tcW w:w="2838" w:type="dxa"/>
            <w:tcBorders/>
            <w:vAlign w:val="center"/>
          </w:tcPr>
          <w:p>
            <w:pPr>
              <w:pStyle w:val="32GTableau"/>
              <w:widowControl w:val="false"/>
              <w:spacing w:before="0" w:after="0"/>
              <w:jc w:val="center"/>
              <w:rPr>
                <w:lang w:val="fr-FR" w:eastAsia="fr-FR" w:bidi="ar-SA"/>
              </w:rPr>
            </w:pPr>
            <w:r>
              <w:rPr>
                <w:lang w:val="fr-FR" w:eastAsia="fr-FR" w:bidi="ar-SA"/>
              </w:rPr>
              <w:t>Dames : Nb mini (hors WC)</w:t>
            </w:r>
          </w:p>
        </w:tc>
        <w:tc>
          <w:tcPr>
            <w:tcW w:w="2977" w:type="dxa"/>
            <w:tcBorders/>
            <w:vAlign w:val="center"/>
          </w:tcPr>
          <w:p>
            <w:pPr>
              <w:pStyle w:val="32GTableau"/>
              <w:widowControl w:val="false"/>
              <w:spacing w:before="0" w:after="0"/>
              <w:jc w:val="center"/>
              <w:rPr>
                <w:lang w:val="fr-FR" w:eastAsia="fr-FR" w:bidi="ar-SA"/>
              </w:rPr>
            </w:pPr>
            <w:r>
              <w:rPr>
                <w:lang w:val="fr-FR" w:eastAsia="fr-FR" w:bidi="ar-SA"/>
              </w:rPr>
              <w:t>Wild cards : Nb max autorisé</w:t>
            </w:r>
          </w:p>
        </w:tc>
      </w:tr>
      <w:tr>
        <w:trPr/>
        <w:tc>
          <w:tcPr>
            <w:tcW w:w="2969" w:type="dxa"/>
            <w:tcBorders/>
          </w:tcPr>
          <w:p>
            <w:pPr>
              <w:pStyle w:val="31Tableau"/>
              <w:widowControl w:val="false"/>
              <w:spacing w:before="0" w:after="0"/>
              <w:jc w:val="center"/>
              <w:rPr>
                <w:rFonts w:ascii="Calibri" w:hAnsi="Calibri" w:eastAsia="Calibri" w:cs="Calibri"/>
                <w:color w:val="auto"/>
                <w:kern w:val="0"/>
                <w:sz w:val="22"/>
                <w:szCs w:val="22"/>
                <w:highlight w:val="none"/>
                <w:shd w:fill="auto" w:val="clear"/>
                <w:lang w:val="fr-FR" w:eastAsia="fr-FR" w:bidi="ar-SA"/>
              </w:rPr>
            </w:pPr>
            <w:r>
              <w:rPr>
                <w:rFonts w:eastAsia="Calibri" w:cs="Calibri"/>
                <w:color w:val="000000"/>
                <w:kern w:val="0"/>
                <w:sz w:val="22"/>
                <w:szCs w:val="22"/>
                <w:shd w:fill="auto" w:val="clear"/>
                <w:lang w:val="fr-FR" w:eastAsia="fr-FR" w:bidi="ar-SA"/>
              </w:rPr>
              <w:t>144</w:t>
            </w:r>
          </w:p>
        </w:tc>
        <w:tc>
          <w:tcPr>
            <w:tcW w:w="2838" w:type="dxa"/>
            <w:tcBorders/>
          </w:tcPr>
          <w:p>
            <w:pPr>
              <w:pStyle w:val="31Tableau"/>
              <w:widowControl w:val="false"/>
              <w:spacing w:before="0" w:after="0"/>
              <w:jc w:val="center"/>
              <w:rPr>
                <w:rFonts w:ascii="Calibri" w:hAnsi="Calibri" w:eastAsia="Calibri" w:cs="Calibri"/>
                <w:color w:val="auto"/>
                <w:kern w:val="0"/>
                <w:sz w:val="22"/>
                <w:szCs w:val="22"/>
                <w:highlight w:val="none"/>
                <w:shd w:fill="auto" w:val="clear"/>
                <w:lang w:val="fr-FR" w:eastAsia="fr-FR" w:bidi="ar-SA"/>
              </w:rPr>
            </w:pPr>
            <w:r>
              <w:rPr>
                <w:rFonts w:eastAsia="Calibri" w:cs="Calibri"/>
                <w:color w:val="000000"/>
                <w:kern w:val="0"/>
                <w:sz w:val="22"/>
                <w:szCs w:val="22"/>
                <w:shd w:fill="auto" w:val="clear"/>
                <w:lang w:val="fr-FR" w:eastAsia="fr-FR" w:bidi="ar-SA"/>
              </w:rPr>
              <w:t>33</w:t>
            </w:r>
          </w:p>
        </w:tc>
        <w:tc>
          <w:tcPr>
            <w:tcW w:w="2977" w:type="dxa"/>
            <w:tcBorders/>
          </w:tcPr>
          <w:p>
            <w:pPr>
              <w:pStyle w:val="31Tableau"/>
              <w:widowControl w:val="false"/>
              <w:spacing w:before="0" w:after="0"/>
              <w:jc w:val="center"/>
              <w:rPr>
                <w:rFonts w:ascii="Calibri" w:hAnsi="Calibri" w:eastAsia="Calibri" w:cs="Calibri"/>
                <w:color w:val="auto"/>
                <w:kern w:val="0"/>
                <w:sz w:val="22"/>
                <w:szCs w:val="22"/>
                <w:highlight w:val="none"/>
                <w:shd w:fill="auto" w:val="clear"/>
                <w:lang w:val="fr-FR" w:eastAsia="fr-FR" w:bidi="ar-SA"/>
              </w:rPr>
            </w:pPr>
            <w:r>
              <w:rPr>
                <w:rFonts w:eastAsia="Calibri" w:cs="Calibri"/>
                <w:color w:val="000000"/>
                <w:kern w:val="0"/>
                <w:sz w:val="22"/>
                <w:szCs w:val="22"/>
                <w:shd w:fill="auto" w:val="clear"/>
                <w:lang w:val="fr-FR" w:eastAsia="fr-FR" w:bidi="ar-SA"/>
              </w:rPr>
              <w:t>14</w:t>
            </w:r>
          </w:p>
        </w:tc>
      </w:tr>
    </w:tbl>
    <w:p>
      <w:pPr>
        <w:pStyle w:val="02GPara"/>
        <w:rPr>
          <w:highlight w:val="cyan"/>
        </w:rPr>
      </w:pPr>
      <w:r>
        <w:rPr>
          <w:highlight w:val="cyan"/>
        </w:rPr>
      </w:r>
    </w:p>
    <w:p>
      <w:pPr>
        <w:pStyle w:val="00Ligneetroite"/>
        <w:rPr>
          <w:highlight w:val="cyan"/>
        </w:rPr>
      </w:pPr>
      <w:r>
        <w:rPr>
          <w:highlight w:val="cyan"/>
        </w:rPr>
      </w:r>
    </w:p>
    <w:p>
      <w:pPr>
        <w:pStyle w:val="00Ligneetroite"/>
        <w:rPr>
          <w:highlight w:val="cyan"/>
        </w:rPr>
      </w:pPr>
      <w:r>
        <w:rPr>
          <w:highlight w:val="cyan"/>
        </w:rPr>
      </w:r>
    </w:p>
    <w:p>
      <w:pPr>
        <w:pStyle w:val="01Paragraphe1"/>
        <w:rPr/>
      </w:pPr>
      <w:r>
        <w:rPr/>
        <w:t>10% du champ de joueurs est réservé aux licences Or U16 qui ne rentrent pas via leur place au mérite amateur ou par leur index.</w:t>
      </w:r>
    </w:p>
    <w:p>
      <w:pPr>
        <w:pStyle w:val="00Ligneetroite"/>
        <w:rPr/>
      </w:pPr>
      <w:r>
        <w:rPr/>
      </w:r>
    </w:p>
    <w:p>
      <w:pPr>
        <w:pStyle w:val="01Paragraphe1"/>
        <w:rPr/>
      </w:pPr>
      <w:r>
        <w:rPr/>
        <w:t>Les joueurs sont retenus dans l’ordre suivant :</w:t>
      </w:r>
    </w:p>
    <w:p>
      <w:pPr>
        <w:pStyle w:val="11Puce"/>
        <w:numPr>
          <w:ilvl w:val="0"/>
          <w:numId w:val="2"/>
        </w:numPr>
        <w:rPr/>
      </w:pPr>
      <w:r>
        <w:rPr/>
        <w:t>Les joueurs et joueuses de nationalité étrangère classés dans les 2000 premiers du WAGR pour les Messieurs et dans les 1500 premières du WWAGR pour les Dames.</w:t>
      </w:r>
    </w:p>
    <w:p>
      <w:pPr>
        <w:pStyle w:val="11Puce"/>
        <w:numPr>
          <w:ilvl w:val="0"/>
          <w:numId w:val="2"/>
        </w:numPr>
        <w:rPr/>
      </w:pPr>
      <w:r>
        <w:rPr/>
        <w:t>Le classement au Mérite National Amateur.</w:t>
      </w:r>
    </w:p>
    <w:p>
      <w:pPr>
        <w:pStyle w:val="11Puce"/>
        <w:numPr>
          <w:ilvl w:val="0"/>
          <w:numId w:val="2"/>
        </w:numPr>
        <w:rPr/>
      </w:pPr>
      <w:r>
        <w:rPr/>
        <w:t xml:space="preserve">L’index. </w:t>
      </w:r>
    </w:p>
    <w:p>
      <w:pPr>
        <w:pStyle w:val="11Puce"/>
        <w:numPr>
          <w:ilvl w:val="0"/>
          <w:numId w:val="2"/>
        </w:numPr>
        <w:rPr/>
      </w:pPr>
      <w:r>
        <w:rPr/>
        <w:t>La date d’arrivée des inscriptions.</w:t>
      </w:r>
      <w:bookmarkStart w:id="14" w:name="_Hlk534833947"/>
      <w:bookmarkEnd w:id="14"/>
    </w:p>
    <w:p>
      <w:pPr>
        <w:pStyle w:val="Titre3"/>
        <w:rPr/>
      </w:pPr>
      <w:r>
        <w:rPr/>
        <w:t>Organisation</w:t>
      </w:r>
    </w:p>
    <w:p>
      <w:pPr>
        <w:pStyle w:val="02GParag"/>
        <w:rPr/>
      </w:pPr>
      <w:r>
        <w:rPr/>
        <w:t>Entrainement</w:t>
      </w:r>
    </w:p>
    <w:p>
      <w:pPr>
        <w:pStyle w:val="01Paragraphe1"/>
        <w:rPr/>
      </w:pPr>
      <w:r>
        <w:rPr>
          <w:szCs w:val="15"/>
        </w:rPr>
        <w:t xml:space="preserve">Une reconnaissance du </w:t>
      </w:r>
      <w:r>
        <w:rPr/>
        <w:t>parcours</w:t>
      </w:r>
      <w:r>
        <w:rPr>
          <w:szCs w:val="15"/>
        </w:rPr>
        <w:t xml:space="preserve"> gratuite : 5 </w:t>
      </w:r>
      <w:r>
        <w:rPr/>
        <w:t>jours avant le début de l'épreuve hors week-end.</w:t>
      </w:r>
    </w:p>
    <w:p>
      <w:pPr>
        <w:pStyle w:val="02GParag"/>
        <w:rPr/>
      </w:pPr>
      <w:r>
        <w:rPr/>
        <w:t>Tirage des départs</w:t>
      </w:r>
    </w:p>
    <w:p>
      <w:pPr>
        <w:pStyle w:val="01Paragraphe1"/>
        <w:rPr/>
      </w:pPr>
      <w:r>
        <w:rPr/>
        <w:t>La liste d’entrée est découpée en 4 blocs égaux (bloc 1 meilleurs joueurs à bloc 4 moins bons joueurs).</w:t>
      </w:r>
    </w:p>
    <w:p>
      <w:pPr>
        <w:pStyle w:val="01Paragraphe1"/>
        <w:rPr/>
      </w:pPr>
      <w:r>
        <w:rPr/>
        <w:t>Le tirage des départs se fait de la manière suivante :</w:t>
      </w:r>
    </w:p>
    <w:p>
      <w:pPr>
        <w:pStyle w:val="11Puce"/>
        <w:numPr>
          <w:ilvl w:val="0"/>
          <w:numId w:val="2"/>
        </w:numPr>
        <w:rPr/>
      </w:pPr>
      <w:r>
        <w:rPr/>
        <w:t>Lors du 1</w:t>
      </w:r>
      <w:r>
        <w:rPr>
          <w:vertAlign w:val="superscript"/>
        </w:rPr>
        <w:t>er</w:t>
      </w:r>
      <w:r>
        <w:rPr/>
        <w:t xml:space="preserve"> tour, faire jouer le bloc 2, puis le bloc 1 et pour finir le bloc 3 puis bloc 4.</w:t>
      </w:r>
    </w:p>
    <w:p>
      <w:pPr>
        <w:pStyle w:val="11Puce"/>
        <w:numPr>
          <w:ilvl w:val="0"/>
          <w:numId w:val="2"/>
        </w:numPr>
        <w:rPr/>
      </w:pPr>
      <w:r>
        <w:rPr/>
        <w:t>Lors du 2</w:t>
      </w:r>
      <w:r>
        <w:rPr>
          <w:vertAlign w:val="superscript"/>
        </w:rPr>
        <w:t>ème</w:t>
      </w:r>
      <w:r>
        <w:rPr/>
        <w:t xml:space="preserve"> tour, dans l’ordre inverse des résultats.</w:t>
      </w:r>
    </w:p>
    <w:p>
      <w:pPr>
        <w:pStyle w:val="02GParag"/>
        <w:rPr/>
      </w:pPr>
      <w:r>
        <w:rPr/>
        <w:t>Prix et Remise des Prix</w:t>
      </w:r>
    </w:p>
    <w:p>
      <w:pPr>
        <w:pStyle w:val="01Paragraphe1"/>
        <w:rPr/>
      </w:pPr>
      <w:r>
        <w:rPr/>
        <w:t>Les trois premiers de chaque série sont primés.</w:t>
      </w:r>
    </w:p>
    <w:p>
      <w:pPr>
        <w:pStyle w:val="01Paragraphe1"/>
        <w:rPr>
          <w:color w:val="000000" w:themeColor="text1"/>
        </w:rPr>
      </w:pPr>
      <w:r>
        <w:rPr>
          <w:color w:val="000000" w:themeColor="text1"/>
        </w:rPr>
        <w:t>La remise des prix, suivi d’un cocktail, est organisée 30 minutes après la rentrée des derniers joueurs.</w:t>
      </w:r>
      <w:bookmarkStart w:id="15" w:name="_Hlk49859931"/>
      <w:bookmarkEnd w:id="15"/>
    </w:p>
    <w:p>
      <w:pPr>
        <w:pStyle w:val="Normal"/>
        <w:spacing w:lineRule="auto" w:line="259" w:before="0" w:after="160"/>
        <w:rPr/>
      </w:pPr>
      <w:r>
        <w:rPr/>
      </w:r>
      <w:r>
        <w:br w:type="page"/>
      </w:r>
    </w:p>
    <w:p>
      <w:pPr>
        <w:pStyle w:val="Titre2"/>
        <w:rPr>
          <w:highlight w:val="none"/>
          <w:shd w:fill="auto" w:val="clear"/>
        </w:rPr>
      </w:pPr>
      <w:r>
        <w:rPr>
          <w:shd w:fill="auto" w:val="clear"/>
        </w:rPr>
        <w:t>Grand Prix du  CLOU</w:t>
      </w:r>
    </w:p>
    <w:p>
      <w:pPr>
        <w:pStyle w:val="Titre2"/>
        <w:rPr/>
      </w:pPr>
      <w:r>
        <w:rPr/>
        <w:t>BULLETIN D’ENGAGEMENT</w:t>
      </w:r>
    </w:p>
    <w:p>
      <w:pPr>
        <w:pStyle w:val="Titre3"/>
        <w:rPr/>
      </w:pPr>
      <w:r>
        <w:rPr/>
        <w:t>Condition de participation</w:t>
      </w:r>
    </w:p>
    <w:p>
      <w:pPr>
        <w:pStyle w:val="01Paragraphe1"/>
        <w:rPr/>
      </w:pPr>
      <w:r>
        <w:rPr/>
        <w:t>Le joueur doit avoir, à la date de clôture des inscriptions, pris sa licence de l’année en cours., acquitté le droit de jeu fédéral et enregistré son certificat médical ou son questionnaire santé de l’année en cours.</w:t>
      </w:r>
    </w:p>
    <w:p>
      <w:pPr>
        <w:pStyle w:val="Titre3"/>
        <w:rPr/>
      </w:pPr>
      <w:r>
        <w:rPr/>
        <w:t>Inscription</w:t>
      </w:r>
    </w:p>
    <w:p>
      <w:pPr>
        <w:pStyle w:val="01Paragraphe1"/>
        <w:rPr/>
      </w:pPr>
      <w:r>
        <w:rPr/>
        <w:t>A retourner par courrier, accompagné du règlement (chèque à l’ordre Du</w:t>
      </w:r>
      <w:r>
        <w:rPr>
          <w:rFonts w:eastAsia="Calibri" w:cs="Calibri"/>
          <w:color w:val="000000"/>
          <w:kern w:val="0"/>
          <w:sz w:val="22"/>
          <w:szCs w:val="22"/>
          <w:shd w:fill="auto" w:val="clear"/>
          <w:lang w:val="fr-FR" w:eastAsia="fr-FR" w:bidi="ar-SA"/>
        </w:rPr>
        <w:t xml:space="preserve"> golf du Clou</w:t>
      </w:r>
      <w:r>
        <w:rPr/>
        <w:t>).</w:t>
      </w:r>
    </w:p>
    <w:p>
      <w:pPr>
        <w:pStyle w:val="04CParag"/>
        <w:rPr>
          <w:rFonts w:ascii="Calibri" w:hAnsi="Calibri" w:eastAsia="Calibri" w:cs="Calibri"/>
          <w:color w:val="auto"/>
          <w:kern w:val="0"/>
          <w:sz w:val="22"/>
          <w:szCs w:val="22"/>
          <w:highlight w:val="none"/>
          <w:shd w:fill="auto" w:val="clear"/>
          <w:lang w:val="fr-FR" w:eastAsia="fr-FR" w:bidi="ar-SA"/>
        </w:rPr>
      </w:pPr>
      <w:r>
        <w:rPr>
          <w:rFonts w:eastAsia="Calibri" w:cs="Calibri"/>
          <w:color w:val="000000"/>
          <w:kern w:val="0"/>
          <w:sz w:val="22"/>
          <w:szCs w:val="22"/>
          <w:shd w:fill="auto" w:val="clear"/>
          <w:lang w:val="fr-FR" w:eastAsia="fr-FR" w:bidi="ar-SA"/>
        </w:rPr>
        <w:t>01330 VILLARS LES DOMBES</w:t>
      </w:r>
    </w:p>
    <w:p>
      <w:pPr>
        <w:pStyle w:val="01Paragraphe1"/>
        <w:rPr/>
      </w:pPr>
      <w:r>
        <w:rPr/>
        <w:t>Seule la date de réception des inscriptions sera prise en compte dans l’établissement de la liste officielle.</w:t>
      </w:r>
    </w:p>
    <w:p>
      <w:pPr>
        <w:pStyle w:val="00Ligneetroite"/>
        <w:rPr/>
      </w:pPr>
      <w:r>
        <w:rPr/>
      </w:r>
    </w:p>
    <w:p>
      <w:pPr>
        <w:pStyle w:val="Normal"/>
        <w:tabs>
          <w:tab w:val="clear" w:pos="720"/>
          <w:tab w:val="left" w:pos="9072" w:leader="dot"/>
        </w:tabs>
        <w:spacing w:before="120" w:after="180"/>
        <w:ind w:left="284" w:hanging="0"/>
        <w:rPr/>
      </w:pPr>
      <w:r>
        <w:rPr/>
        <w:t xml:space="preserve">NOM PRENOM :  </w:t>
        <w:tab/>
      </w:r>
    </w:p>
    <w:p>
      <w:pPr>
        <w:pStyle w:val="Normal"/>
        <w:tabs>
          <w:tab w:val="clear" w:pos="720"/>
          <w:tab w:val="left" w:pos="9072" w:leader="dot"/>
        </w:tabs>
        <w:spacing w:before="120" w:after="180"/>
        <w:ind w:left="284" w:hanging="0"/>
        <w:rPr/>
      </w:pPr>
      <w:r>
        <w:rPr/>
        <w:t xml:space="preserve">DATE DE NAISSANCE :  </w:t>
        <w:tab/>
      </w:r>
    </w:p>
    <w:p>
      <w:pPr>
        <w:pStyle w:val="Normal"/>
        <w:tabs>
          <w:tab w:val="clear" w:pos="720"/>
          <w:tab w:val="left" w:pos="9072" w:leader="dot"/>
        </w:tabs>
        <w:spacing w:before="120" w:after="180"/>
        <w:ind w:left="284" w:hanging="0"/>
        <w:rPr/>
      </w:pPr>
      <w:r>
        <w:rPr/>
        <w:t xml:space="preserve">CLUB : </w:t>
        <w:tab/>
      </w:r>
    </w:p>
    <w:p>
      <w:pPr>
        <w:pStyle w:val="Normal"/>
        <w:tabs>
          <w:tab w:val="clear" w:pos="720"/>
          <w:tab w:val="left" w:pos="9072" w:leader="dot"/>
        </w:tabs>
        <w:spacing w:before="120" w:after="180"/>
        <w:ind w:left="284" w:hanging="0"/>
        <w:rPr/>
      </w:pPr>
      <w:r>
        <w:rPr/>
        <w:t xml:space="preserve">NUMERO DE LICENCE FFG : </w:t>
        <w:tab/>
      </w:r>
    </w:p>
    <w:p>
      <w:pPr>
        <w:pStyle w:val="Normal"/>
        <w:tabs>
          <w:tab w:val="clear" w:pos="720"/>
          <w:tab w:val="left" w:pos="9072" w:leader="dot"/>
        </w:tabs>
        <w:spacing w:before="120" w:after="180"/>
        <w:ind w:left="284" w:hanging="0"/>
        <w:rPr/>
      </w:pPr>
      <w:r>
        <w:rPr/>
        <w:t xml:space="preserve">INDEX :  </w:t>
        <w:tab/>
      </w:r>
    </w:p>
    <w:p>
      <w:pPr>
        <w:pStyle w:val="Normal"/>
        <w:tabs>
          <w:tab w:val="clear" w:pos="720"/>
          <w:tab w:val="left" w:pos="9072" w:leader="dot"/>
        </w:tabs>
        <w:spacing w:before="120" w:after="180"/>
        <w:ind w:left="284" w:hanging="0"/>
        <w:rPr/>
      </w:pPr>
      <w:r>
        <w:rPr>
          <w:sz w:val="23"/>
          <w:szCs w:val="23"/>
        </w:rPr>
        <w:t>CLASSEMENT MONDIAL</w:t>
      </w:r>
      <w:r>
        <w:rPr/>
        <w:t xml:space="preserve"> : </w:t>
        <w:tab/>
      </w:r>
    </w:p>
    <w:p>
      <w:pPr>
        <w:pStyle w:val="Normal"/>
        <w:tabs>
          <w:tab w:val="clear" w:pos="720"/>
          <w:tab w:val="left" w:pos="9072" w:leader="dot"/>
        </w:tabs>
        <w:spacing w:before="120" w:after="180"/>
        <w:ind w:left="284" w:hanging="0"/>
        <w:rPr/>
      </w:pPr>
      <w:r>
        <w:rPr>
          <w:sz w:val="23"/>
          <w:szCs w:val="23"/>
        </w:rPr>
        <w:t>CLASSEMENT MERITE</w:t>
      </w:r>
      <w:r>
        <w:rPr/>
        <w:t xml:space="preserve"> :  </w:t>
        <w:tab/>
      </w:r>
    </w:p>
    <w:p>
      <w:pPr>
        <w:pStyle w:val="Normal"/>
        <w:tabs>
          <w:tab w:val="clear" w:pos="720"/>
          <w:tab w:val="left" w:pos="9072" w:leader="dot"/>
        </w:tabs>
        <w:spacing w:before="120" w:after="180"/>
        <w:ind w:left="284" w:hanging="0"/>
        <w:rPr/>
      </w:pPr>
      <w:r>
        <w:rPr>
          <w:sz w:val="23"/>
          <w:szCs w:val="23"/>
        </w:rPr>
        <w:t>LICENCE OR JEUNES (OUI – NON)</w:t>
      </w:r>
      <w:r>
        <w:rPr/>
        <w:t xml:space="preserve"> : </w:t>
        <w:tab/>
      </w:r>
    </w:p>
    <w:p>
      <w:pPr>
        <w:pStyle w:val="Normal"/>
        <w:tabs>
          <w:tab w:val="clear" w:pos="720"/>
          <w:tab w:val="left" w:pos="9072" w:leader="dot"/>
        </w:tabs>
        <w:spacing w:before="120" w:after="180"/>
        <w:ind w:left="284" w:hanging="0"/>
        <w:rPr/>
      </w:pPr>
      <w:r>
        <w:rPr/>
        <w:t xml:space="preserve">TEL : </w:t>
        <w:tab/>
      </w:r>
    </w:p>
    <w:p>
      <w:pPr>
        <w:pStyle w:val="Normal"/>
        <w:tabs>
          <w:tab w:val="clear" w:pos="720"/>
          <w:tab w:val="left" w:pos="9072" w:leader="dot"/>
        </w:tabs>
        <w:spacing w:before="120" w:after="180"/>
        <w:ind w:left="284" w:hanging="0"/>
        <w:rPr/>
      </w:pPr>
      <w:r>
        <w:rPr/>
        <w:t xml:space="preserve">@MAIL :  </w:t>
        <w:tab/>
      </w:r>
    </w:p>
    <w:p>
      <w:pPr>
        <w:pStyle w:val="Titre3"/>
        <w:rPr/>
      </w:pPr>
      <w:r>
        <w:rPr/>
        <w:t>Droits d’engagement</w:t>
      </w:r>
    </w:p>
    <w:p>
      <w:pPr>
        <w:pStyle w:val="02GPara"/>
        <w:rPr/>
      </w:pPr>
      <w:r>
        <w:rPr/>
      </w:r>
    </w:p>
    <w:p>
      <w:pPr>
        <w:pStyle w:val="21Puces"/>
        <w:numPr>
          <w:ilvl w:val="0"/>
          <w:numId w:val="1"/>
        </w:numPr>
        <w:tabs>
          <w:tab w:val="left" w:pos="1701" w:leader="none"/>
          <w:tab w:val="decimal" w:pos="3969" w:leader="none"/>
          <w:tab w:val="left" w:pos="5103" w:leader="none"/>
        </w:tabs>
        <w:ind w:left="851" w:hanging="284"/>
        <w:rPr/>
      </w:pPr>
      <w:r>
        <w:rPr/>
        <w:t xml:space="preserve">Joueurs de 25 ans et plus: </w:t>
        <w:tab/>
        <w:t xml:space="preserve">80 € </w:t>
        <w:tab/>
        <w:t>Abonnés Golf :</w:t>
        <w:tab/>
        <w:tab/>
      </w:r>
      <w:r>
        <w:rPr>
          <w:shd w:fill="auto" w:val="clear"/>
        </w:rPr>
        <w:t>40 €</w:t>
      </w:r>
    </w:p>
    <w:p>
      <w:pPr>
        <w:pStyle w:val="21Puces"/>
        <w:numPr>
          <w:ilvl w:val="0"/>
          <w:numId w:val="1"/>
        </w:numPr>
        <w:tabs>
          <w:tab w:val="left" w:pos="1701" w:leader="none"/>
          <w:tab w:val="decimal" w:pos="3969" w:leader="none"/>
          <w:tab w:val="left" w:pos="5103" w:leader="none"/>
        </w:tabs>
        <w:ind w:left="851" w:hanging="284"/>
        <w:rPr/>
      </w:pPr>
      <w:r>
        <w:rPr/>
        <w:t>Joueurs de 19 à 24 ans :</w:t>
        <w:tab/>
        <w:t>40 €</w:t>
        <w:tab/>
        <w:t>Abonnés Golf :</w:t>
        <w:tab/>
        <w:tab/>
      </w:r>
      <w:r>
        <w:rPr>
          <w:shd w:fill="auto" w:val="clear"/>
        </w:rPr>
        <w:t>20 €</w:t>
      </w:r>
    </w:p>
    <w:p>
      <w:pPr>
        <w:pStyle w:val="21Puces"/>
        <w:numPr>
          <w:ilvl w:val="0"/>
          <w:numId w:val="1"/>
        </w:numPr>
        <w:tabs>
          <w:tab w:val="left" w:pos="1701" w:leader="none"/>
          <w:tab w:val="decimal" w:pos="3969" w:leader="none"/>
          <w:tab w:val="left" w:pos="5103" w:leader="none"/>
        </w:tabs>
        <w:ind w:left="851" w:hanging="284"/>
        <w:rPr/>
      </w:pPr>
      <w:r>
        <w:rPr/>
        <w:t>Joueurs de moins de 19 ans :</w:t>
        <w:tab/>
        <w:t>40 €</w:t>
        <w:tab/>
        <w:t>Abonnés Golf :</w:t>
        <w:tab/>
        <w:tab/>
      </w:r>
      <w:r>
        <w:rPr>
          <w:shd w:fill="auto" w:val="clear"/>
        </w:rPr>
        <w:t>20 €</w:t>
      </w:r>
    </w:p>
    <w:p>
      <w:pPr>
        <w:pStyle w:val="01Paragraphe1"/>
        <w:rPr/>
      </w:pPr>
      <w:r>
        <w:rPr/>
        <w:t>Un joueur ou une joueuse, qui possède une licence française, mais qui s’inscrit en tant que non licencié ffgolf à un Grand Prix ne pourra pas bénéficier des réductions tarifaires ci-dessus.</w:t>
      </w:r>
    </w:p>
    <w:p>
      <w:pPr>
        <w:pStyle w:val="01Paragraphe1"/>
        <w:rPr/>
      </w:pPr>
      <w:r>
        <w:rPr/>
      </w:r>
      <w:bookmarkStart w:id="16" w:name="_Toc83668202"/>
      <w:bookmarkStart w:id="17" w:name="_Toc413176209"/>
      <w:bookmarkStart w:id="18" w:name="_Toc412821542"/>
      <w:bookmarkStart w:id="19" w:name="_Toc412821367"/>
      <w:bookmarkStart w:id="20" w:name="_Toc392957289"/>
      <w:bookmarkStart w:id="21" w:name="_Toc413176203"/>
      <w:bookmarkStart w:id="22" w:name="_Toc392957284"/>
      <w:bookmarkStart w:id="23" w:name="_Toc412821514"/>
      <w:bookmarkStart w:id="24" w:name="_Toc412821358"/>
      <w:bookmarkStart w:id="25" w:name="_Toc427614564"/>
      <w:bookmarkStart w:id="26" w:name="_Toc364107224"/>
      <w:bookmarkStart w:id="27" w:name="_Toc343523856"/>
      <w:bookmarkStart w:id="28" w:name="_Toc83668202"/>
      <w:bookmarkStart w:id="29" w:name="_Toc413176209"/>
      <w:bookmarkStart w:id="30" w:name="_Toc412821542"/>
      <w:bookmarkStart w:id="31" w:name="_Toc412821367"/>
      <w:bookmarkStart w:id="32" w:name="_Toc392957289"/>
      <w:bookmarkStart w:id="33" w:name="_Toc413176203"/>
      <w:bookmarkStart w:id="34" w:name="_Toc392957284"/>
      <w:bookmarkStart w:id="35" w:name="_Toc412821514"/>
      <w:bookmarkStart w:id="36" w:name="_Toc412821358"/>
      <w:bookmarkStart w:id="37" w:name="_Toc427614564"/>
      <w:bookmarkStart w:id="38" w:name="_Toc364107224"/>
      <w:bookmarkStart w:id="39" w:name="_Toc343523856"/>
      <w:bookmarkEnd w:id="28"/>
      <w:bookmarkEnd w:id="29"/>
      <w:bookmarkEnd w:id="30"/>
      <w:bookmarkEnd w:id="31"/>
      <w:bookmarkEnd w:id="32"/>
      <w:bookmarkEnd w:id="33"/>
      <w:bookmarkEnd w:id="34"/>
      <w:bookmarkEnd w:id="35"/>
      <w:bookmarkEnd w:id="36"/>
      <w:bookmarkEnd w:id="37"/>
      <w:bookmarkEnd w:id="38"/>
      <w:bookmarkEnd w:id="39"/>
    </w:p>
    <w:p>
      <w:pPr>
        <w:pStyle w:val="01Paragraphe1"/>
        <w:rPr/>
      </w:pPr>
      <w:r>
        <w:rPr/>
      </w:r>
    </w:p>
    <w:sectPr>
      <w:headerReference w:type="default" r:id="rId2"/>
      <w:type w:val="nextPage"/>
      <w:pgSz w:w="11906" w:h="16838"/>
      <w:pgMar w:left="1080" w:right="1080" w:gutter="0" w:header="709"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w Cen MT">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60" w:after="0"/>
      <w:jc w:val="center"/>
      <w:rPr/>
    </w:pPr>
    <w:r>
      <w:rPr/>
      <w:drawing>
        <wp:inline distT="0" distB="0" distL="0" distR="0">
          <wp:extent cx="1800225" cy="356235"/>
          <wp:effectExtent l="0" t="0" r="0" b="0"/>
          <wp:docPr id="1"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Une image contenant texte&#10;&#10;Description générée automatiquement"/>
                  <pic:cNvPicPr>
                    <a:picLocks noChangeAspect="1" noChangeArrowheads="1"/>
                  </pic:cNvPicPr>
                </pic:nvPicPr>
                <pic:blipFill>
                  <a:blip r:embed="rId1"/>
                  <a:stretch>
                    <a:fillRect/>
                  </a:stretch>
                </pic:blipFill>
                <pic:spPr bwMode="auto">
                  <a:xfrm>
                    <a:off x="0" y="0"/>
                    <a:ext cx="1800225" cy="356235"/>
                  </a:xfrm>
                  <a:prstGeom prst="rect">
                    <a:avLst/>
                  </a:prstGeom>
                </pic:spPr>
              </pic:pic>
            </a:graphicData>
          </a:graphic>
        </wp:inline>
      </w:drawing>
    </w:r>
  </w:p>
  <w:p>
    <w:pPr>
      <w:pStyle w:val="00Ligneetroite"/>
      <w:rPr/>
    </w:pPr>
    <w:r>
      <w:rPr/>
    </w:r>
  </w:p>
  <w:p>
    <w:pPr>
      <w:pStyle w:val="00Ligneetroi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322"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955" w:hanging="435"/>
      </w:pPr>
      <w:rPr>
        <w:rFonts w:ascii="Calibri" w:hAnsi="Calibri" w:cs="Calibri"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w Cen MT" w:hAnsi="Tw Cen MT" w:eastAsia="Tw Cen MT"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36"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6" w:semiHidden="1" w:unhideWhenUsed="1" w:qFormat="1"/>
    <w:lsdException w:name="List Bullet 3" w:uiPriority="36" w:semiHidden="1" w:unhideWhenUsed="1" w:qFormat="1"/>
    <w:lsdException w:name="List Bullet 4" w:uiPriority="36" w:semiHidden="1" w:unhideWhenUsed="1" w:qFormat="1"/>
    <w:lsdException w:name="List Bullet 5" w:uiPriority="36"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53b8"/>
    <w:pPr>
      <w:widowControl/>
      <w:suppressAutoHyphens w:val="true"/>
      <w:bidi w:val="0"/>
      <w:spacing w:lineRule="auto" w:line="264" w:before="0" w:after="180"/>
      <w:jc w:val="left"/>
    </w:pPr>
    <w:rPr>
      <w:rFonts w:ascii="Calibri" w:hAnsi="Calibri" w:eastAsia="Tw Cen MT" w:cs="Times New Roman"/>
      <w:color w:val="auto"/>
      <w:kern w:val="2"/>
      <w:sz w:val="22"/>
      <w:szCs w:val="20"/>
      <w:lang w:val="fr-FR" w:eastAsia="fr-FR" w:bidi="ar-SA"/>
    </w:rPr>
  </w:style>
  <w:style w:type="paragraph" w:styleId="Titre1">
    <w:name w:val="Heading 1"/>
    <w:next w:val="01Paragraphe"/>
    <w:link w:val="Titre1Car"/>
    <w:unhideWhenUsed/>
    <w:qFormat/>
    <w:rsid w:val="00206695"/>
    <w:pPr>
      <w:widowControl/>
      <w:pBdr>
        <w:bottom w:val="single" w:sz="8" w:space="1" w:color="000000"/>
      </w:pBdr>
      <w:suppressAutoHyphens w:val="true"/>
      <w:bidi w:val="0"/>
      <w:spacing w:before="480" w:after="120"/>
      <w:contextualSpacing/>
      <w:jc w:val="left"/>
      <w:outlineLvl w:val="0"/>
    </w:pPr>
    <w:rPr>
      <w:rFonts w:ascii="Cambria" w:hAnsi="Cambria" w:eastAsia="Tw Cen MT" w:cs="Times New Roman"/>
      <w:b/>
      <w:smallCaps/>
      <w:color w:val="auto"/>
      <w:kern w:val="2"/>
      <w:sz w:val="32"/>
      <w:szCs w:val="36"/>
      <w:lang w:val="fr-FR" w:eastAsia="fr-FR" w:bidi="ar-SA"/>
    </w:rPr>
  </w:style>
  <w:style w:type="paragraph" w:styleId="Titre2">
    <w:name w:val="Heading 2"/>
    <w:basedOn w:val="Titre1"/>
    <w:next w:val="01Paragraphe"/>
    <w:link w:val="Titre2Car"/>
    <w:unhideWhenUsed/>
    <w:qFormat/>
    <w:rsid w:val="002c30b3"/>
    <w:pPr>
      <w:pBdr>
        <w:top w:val="double" w:sz="4" w:space="1" w:color="003399"/>
        <w:left w:val="double" w:sz="4" w:space="4" w:color="003399"/>
        <w:bottom w:val="double" w:sz="4" w:space="1" w:color="003399"/>
        <w:right w:val="double" w:sz="4" w:space="4" w:color="003399"/>
      </w:pBdr>
      <w:spacing w:before="240" w:after="0"/>
      <w:contextualSpacing/>
      <w:jc w:val="center"/>
      <w:outlineLvl w:val="1"/>
    </w:pPr>
    <w:rPr>
      <w:color w:val="003399"/>
      <w:spacing w:val="20"/>
      <w:szCs w:val="28"/>
    </w:rPr>
  </w:style>
  <w:style w:type="paragraph" w:styleId="Titre3">
    <w:name w:val="Heading 3"/>
    <w:basedOn w:val="Titre1"/>
    <w:next w:val="01Paragraphe"/>
    <w:link w:val="Titre3Car"/>
    <w:unhideWhenUsed/>
    <w:qFormat/>
    <w:rsid w:val="00d01a96"/>
    <w:pPr>
      <w:pBdr>
        <w:bottom w:val="nil"/>
      </w:pBdr>
      <w:shd w:val="clear" w:color="auto" w:fill="D5DCE4" w:themeFill="text2" w:themeFillTint="33"/>
      <w:spacing w:before="240" w:after="0"/>
      <w:contextualSpacing/>
      <w:outlineLvl w:val="2"/>
    </w:pPr>
    <w:rPr>
      <w:caps w:val="false"/>
      <w:smallCaps w:val="false"/>
      <w:spacing w:val="10"/>
      <w:sz w:val="24"/>
      <w:szCs w:val="24"/>
    </w:rPr>
  </w:style>
  <w:style w:type="paragraph" w:styleId="Titre4">
    <w:name w:val="Heading 4"/>
    <w:basedOn w:val="Titre1"/>
    <w:next w:val="01Paragraphe"/>
    <w:link w:val="Titre4Car"/>
    <w:unhideWhenUsed/>
    <w:qFormat/>
    <w:rsid w:val="00206695"/>
    <w:pPr>
      <w:pBdr>
        <w:bottom w:val="nil"/>
      </w:pBdr>
      <w:spacing w:before="120" w:after="0"/>
      <w:ind w:left="142" w:hanging="0"/>
      <w:contextualSpacing/>
      <w:outlineLvl w:val="3"/>
    </w:pPr>
    <w:rPr>
      <w:rFonts w:ascii="Calibri" w:hAnsi="Calibri" w:cs="Calibri"/>
      <w:b w:val="false"/>
      <w:i/>
      <w:caps w:val="false"/>
      <w:smallCaps w:val="false"/>
      <w:color w:val="003399"/>
      <w:spacing w:val="14"/>
      <w:sz w:val="24"/>
      <w:szCs w:val="22"/>
      <w:u w:val="single"/>
    </w:rPr>
  </w:style>
  <w:style w:type="paragraph" w:styleId="Titre5">
    <w:name w:val="Heading 5"/>
    <w:basedOn w:val="Normal"/>
    <w:next w:val="Normal"/>
    <w:link w:val="Titre5Car"/>
    <w:unhideWhenUsed/>
    <w:qFormat/>
    <w:pPr>
      <w:spacing w:before="200" w:after="0"/>
      <w:outlineLvl w:val="4"/>
    </w:pPr>
    <w:rPr>
      <w:b/>
      <w:color w:val="775F55"/>
      <w:spacing w:val="10"/>
      <w:szCs w:val="26"/>
    </w:rPr>
  </w:style>
  <w:style w:type="paragraph" w:styleId="Titre6">
    <w:name w:val="Heading 6"/>
    <w:basedOn w:val="Normal"/>
    <w:next w:val="Normal"/>
    <w:link w:val="Titre6Car"/>
    <w:unhideWhenUsed/>
    <w:qFormat/>
    <w:pPr>
      <w:spacing w:before="0" w:after="0"/>
      <w:outlineLvl w:val="5"/>
    </w:pPr>
    <w:rPr>
      <w:b/>
      <w:color w:val="DD8047"/>
      <w:spacing w:val="10"/>
    </w:rPr>
  </w:style>
  <w:style w:type="paragraph" w:styleId="Titre7">
    <w:name w:val="Heading 7"/>
    <w:basedOn w:val="Normal"/>
    <w:next w:val="Normal"/>
    <w:link w:val="Titre7Car"/>
    <w:unhideWhenUsed/>
    <w:qFormat/>
    <w:pPr>
      <w:spacing w:before="0" w:after="0"/>
      <w:outlineLvl w:val="6"/>
    </w:pPr>
    <w:rPr>
      <w:smallCaps/>
      <w:color w:val="000000"/>
      <w:spacing w:val="10"/>
    </w:rPr>
  </w:style>
  <w:style w:type="paragraph" w:styleId="Titre8">
    <w:name w:val="Heading 8"/>
    <w:basedOn w:val="Normal"/>
    <w:next w:val="Normal"/>
    <w:link w:val="Titre8Car"/>
    <w:unhideWhenUsed/>
    <w:qFormat/>
    <w:pPr>
      <w:spacing w:before="0" w:after="0"/>
      <w:outlineLvl w:val="7"/>
    </w:pPr>
    <w:rPr>
      <w:b/>
      <w:i/>
      <w:color w:val="94B6D2"/>
      <w:spacing w:val="10"/>
      <w:sz w:val="24"/>
    </w:rPr>
  </w:style>
  <w:style w:type="paragraph" w:styleId="Titre9">
    <w:name w:val="Heading 9"/>
    <w:basedOn w:val="Normal"/>
    <w:next w:val="Normal"/>
    <w:link w:val="Titre9Car"/>
    <w:unhideWhenUsed/>
    <w:qFormat/>
    <w:pPr>
      <w:spacing w:before="0" w:after="0"/>
      <w:outlineLvl w:val="8"/>
    </w:pPr>
    <w:rPr>
      <w:b/>
      <w:caps/>
      <w:color w:val="A5AB81"/>
      <w:spacing w:val="40"/>
      <w:sz w:val="20"/>
    </w:rPr>
  </w:style>
  <w:style w:type="character" w:styleId="DefaultParagraphFont" w:default="1">
    <w:name w:val="Default Paragraph Font"/>
    <w:uiPriority w:val="1"/>
    <w:semiHidden/>
    <w:unhideWhenUsed/>
    <w:qFormat/>
    <w:rPr/>
  </w:style>
  <w:style w:type="character" w:styleId="Titre1Car" w:customStyle="1">
    <w:name w:val="Titre 1 Car"/>
    <w:link w:val="Titre1"/>
    <w:qFormat/>
    <w:rsid w:val="00206695"/>
    <w:rPr>
      <w:rFonts w:ascii="Cambria" w:hAnsi="Cambria"/>
      <w:b/>
      <w:smallCaps/>
      <w:kern w:val="2"/>
      <w:sz w:val="32"/>
      <w:szCs w:val="36"/>
    </w:rPr>
  </w:style>
  <w:style w:type="character" w:styleId="Titre2Car" w:customStyle="1">
    <w:name w:val="Titre 2 Car"/>
    <w:link w:val="Titre2"/>
    <w:qFormat/>
    <w:rsid w:val="002c30b3"/>
    <w:rPr>
      <w:rFonts w:ascii="Cambria" w:hAnsi="Cambria"/>
      <w:b/>
      <w:smallCaps/>
      <w:color w:val="003399"/>
      <w:spacing w:val="20"/>
      <w:kern w:val="2"/>
      <w:sz w:val="32"/>
      <w:szCs w:val="28"/>
    </w:rPr>
  </w:style>
  <w:style w:type="character" w:styleId="Titre3Car" w:customStyle="1">
    <w:name w:val="Titre 3 Car"/>
    <w:link w:val="Titre3"/>
    <w:qFormat/>
    <w:rsid w:val="00d01a96"/>
    <w:rPr>
      <w:rFonts w:ascii="Cambria" w:hAnsi="Cambria"/>
      <w:b/>
      <w:spacing w:val="10"/>
      <w:kern w:val="2"/>
      <w:sz w:val="24"/>
      <w:szCs w:val="24"/>
      <w:shd w:fill="D5DCE4" w:val="clear"/>
    </w:rPr>
  </w:style>
  <w:style w:type="character" w:styleId="TitreCar" w:customStyle="1">
    <w:name w:val="Titre Car"/>
    <w:link w:val="Titre"/>
    <w:uiPriority w:val="10"/>
    <w:qFormat/>
    <w:rsid w:val="00b71bb3"/>
    <w:rPr>
      <w:rFonts w:ascii="Cambria" w:hAnsi="Cambria"/>
      <w:sz w:val="120"/>
      <w:szCs w:val="72"/>
    </w:rPr>
  </w:style>
  <w:style w:type="character" w:styleId="TextedebullesCar" w:customStyle="1">
    <w:name w:val="Texte de bulles Car"/>
    <w:link w:val="Textedebulles"/>
    <w:uiPriority w:val="99"/>
    <w:semiHidden/>
    <w:qFormat/>
    <w:rPr>
      <w:rFonts w:ascii="Tahoma" w:hAnsi="Tahoma" w:cs="Tahoma"/>
      <w:sz w:val="16"/>
      <w:szCs w:val="16"/>
    </w:rPr>
  </w:style>
  <w:style w:type="character" w:styleId="Titre4Car" w:customStyle="1">
    <w:name w:val="Titre 4 Car"/>
    <w:link w:val="Titre4"/>
    <w:qFormat/>
    <w:rsid w:val="00206695"/>
    <w:rPr>
      <w:rFonts w:ascii="Calibri" w:hAnsi="Calibri" w:cs="Calibri"/>
      <w:i/>
      <w:color w:val="003399"/>
      <w:spacing w:val="14"/>
      <w:kern w:val="2"/>
      <w:sz w:val="24"/>
      <w:szCs w:val="22"/>
      <w:u w:val="single"/>
    </w:rPr>
  </w:style>
  <w:style w:type="character" w:styleId="Titre5Car" w:customStyle="1">
    <w:name w:val="Titre 5 Car"/>
    <w:link w:val="Titre5"/>
    <w:qFormat/>
    <w:rPr>
      <w:rFonts w:cs="Times New Roman"/>
      <w:b/>
      <w:color w:val="775F55"/>
      <w:spacing w:val="10"/>
      <w:sz w:val="23"/>
      <w:szCs w:val="23"/>
    </w:rPr>
  </w:style>
  <w:style w:type="character" w:styleId="Titre6Car" w:customStyle="1">
    <w:name w:val="Titre 6 Car"/>
    <w:link w:val="Titre6"/>
    <w:qFormat/>
    <w:rPr>
      <w:rFonts w:cs="Times New Roman"/>
      <w:b/>
      <w:color w:val="DD8047"/>
      <w:spacing w:val="10"/>
      <w:sz w:val="23"/>
      <w:szCs w:val="23"/>
    </w:rPr>
  </w:style>
  <w:style w:type="character" w:styleId="Titre7Car" w:customStyle="1">
    <w:name w:val="Titre 7 Car"/>
    <w:link w:val="Titre7"/>
    <w:qFormat/>
    <w:rPr>
      <w:rFonts w:cs="Times New Roman"/>
      <w:smallCaps/>
      <w:color w:val="000000"/>
      <w:spacing w:val="10"/>
      <w:sz w:val="23"/>
      <w:szCs w:val="23"/>
    </w:rPr>
  </w:style>
  <w:style w:type="character" w:styleId="Titre8Car" w:customStyle="1">
    <w:name w:val="Titre 8 Car"/>
    <w:link w:val="Titre8"/>
    <w:qFormat/>
    <w:rPr>
      <w:rFonts w:cs="Times New Roman"/>
      <w:b/>
      <w:i/>
      <w:color w:val="94B6D2"/>
      <w:spacing w:val="10"/>
      <w:sz w:val="24"/>
      <w:szCs w:val="24"/>
    </w:rPr>
  </w:style>
  <w:style w:type="character" w:styleId="Titre9Car" w:customStyle="1">
    <w:name w:val="Titre 9 Car"/>
    <w:link w:val="Titre9"/>
    <w:qFormat/>
    <w:rPr>
      <w:rFonts w:cs="Times New Roman"/>
      <w:b/>
      <w:caps/>
      <w:color w:val="A5AB81"/>
      <w:spacing w:val="40"/>
      <w:sz w:val="20"/>
      <w:szCs w:val="20"/>
    </w:rPr>
  </w:style>
  <w:style w:type="character" w:styleId="LienInternet">
    <w:name w:val="Lien Internet"/>
    <w:uiPriority w:val="99"/>
    <w:unhideWhenUsed/>
    <w:rsid w:val="00e0043e"/>
    <w:rPr>
      <w:color w:val="003399"/>
      <w:u w:val="single"/>
    </w:rPr>
  </w:style>
  <w:style w:type="character" w:styleId="Annotationreference">
    <w:name w:val="annotation reference"/>
    <w:uiPriority w:val="99"/>
    <w:semiHidden/>
    <w:unhideWhenUsed/>
    <w:qFormat/>
    <w:rsid w:val="00036c87"/>
    <w:rPr>
      <w:sz w:val="16"/>
    </w:rPr>
  </w:style>
  <w:style w:type="character" w:styleId="CommentaireCar" w:customStyle="1">
    <w:name w:val="Commentaire Car"/>
    <w:link w:val="Commentaire"/>
    <w:uiPriority w:val="99"/>
    <w:semiHidden/>
    <w:qFormat/>
    <w:rsid w:val="00036c87"/>
    <w:rPr>
      <w:rFonts w:cs="Times New Roman"/>
      <w:color w:val="404040"/>
      <w:kern w:val="0"/>
      <w:sz w:val="20"/>
      <w:lang w:eastAsia="en-US"/>
    </w:rPr>
  </w:style>
  <w:style w:type="character" w:styleId="ObjetducommentaireCar" w:customStyle="1">
    <w:name w:val="Objet du commentaire Car"/>
    <w:link w:val="Objetducommentaire"/>
    <w:uiPriority w:val="99"/>
    <w:semiHidden/>
    <w:qFormat/>
    <w:rsid w:val="00036c87"/>
    <w:rPr>
      <w:rFonts w:cs="Times New Roman"/>
      <w:b/>
      <w:bCs/>
      <w:color w:val="404040"/>
      <w:kern w:val="0"/>
      <w:sz w:val="20"/>
      <w:lang w:eastAsia="en-US"/>
    </w:rPr>
  </w:style>
  <w:style w:type="character" w:styleId="LienInternetvisit">
    <w:name w:val="Lien Internet visité"/>
    <w:uiPriority w:val="99"/>
    <w:semiHidden/>
    <w:unhideWhenUsed/>
    <w:rsid w:val="00036c87"/>
    <w:rPr>
      <w:color w:val="704404"/>
      <w:u w:val="single"/>
    </w:rPr>
  </w:style>
  <w:style w:type="character" w:styleId="Mention1" w:customStyle="1">
    <w:name w:val="Mention1"/>
    <w:uiPriority w:val="99"/>
    <w:semiHidden/>
    <w:unhideWhenUsed/>
    <w:qFormat/>
    <w:rsid w:val="00a66d0a"/>
    <w:rPr>
      <w:color w:val="2B579A"/>
      <w:shd w:fill="E6E6E6" w:val="clear"/>
    </w:rPr>
  </w:style>
  <w:style w:type="character" w:styleId="UnresolvedMention">
    <w:name w:val="Unresolved Mention"/>
    <w:basedOn w:val="DefaultParagraphFont"/>
    <w:uiPriority w:val="99"/>
    <w:semiHidden/>
    <w:unhideWhenUsed/>
    <w:qFormat/>
    <w:rsid w:val="00912fcd"/>
    <w:rPr>
      <w:color w:val="605E5C"/>
      <w:shd w:fill="E1DFDD" w:val="clear"/>
    </w:rPr>
  </w:style>
  <w:style w:type="character" w:styleId="CitationintenseCar" w:customStyle="1">
    <w:name w:val="Citation intense Car"/>
    <w:basedOn w:val="DefaultParagraphFont"/>
    <w:link w:val="Citationintense"/>
    <w:uiPriority w:val="30"/>
    <w:qFormat/>
    <w:rsid w:val="00f05cef"/>
    <w:rPr>
      <w:rFonts w:ascii="Calibri" w:hAnsi="Calibri" w:eastAsia="Times New Roman"/>
      <w:b/>
      <w:color w:val="003399"/>
      <w:kern w:val="2"/>
      <w:sz w:val="22"/>
      <w:szCs w:val="96"/>
      <w:shd w:fill="FFFFFF" w:val="clear"/>
    </w:rPr>
  </w:style>
  <w:style w:type="character" w:styleId="EntteCar" w:customStyle="1">
    <w:name w:val="En-tête Car"/>
    <w:basedOn w:val="DefaultParagraphFont"/>
    <w:link w:val="En-tte"/>
    <w:uiPriority w:val="99"/>
    <w:qFormat/>
    <w:rsid w:val="002e146c"/>
    <w:rPr>
      <w:rFonts w:ascii="Calibri" w:hAnsi="Calibri" w:eastAsia="Times New Roman"/>
      <w:smallCaps/>
      <w:color w:val="808080"/>
      <w:kern w:val="2"/>
      <w:szCs w:val="96"/>
    </w:rPr>
  </w:style>
  <w:style w:type="character" w:styleId="Gmaildefault" w:customStyle="1">
    <w:name w:val="gmail_default"/>
    <w:basedOn w:val="DefaultParagraphFont"/>
    <w:qFormat/>
    <w:rsid w:val="00164757"/>
    <w:rPr/>
  </w:style>
  <w:style w:type="character" w:styleId="PieddepageCar" w:customStyle="1">
    <w:name w:val="Pied de page Car"/>
    <w:basedOn w:val="DefaultParagraphFont"/>
    <w:link w:val="Pieddepage"/>
    <w:uiPriority w:val="99"/>
    <w:qFormat/>
    <w:rsid w:val="004208a6"/>
    <w:rPr>
      <w:rFonts w:ascii="Calibri" w:hAnsi="Calibri"/>
      <w:kern w:val="2"/>
      <w:sz w:val="22"/>
    </w:rPr>
  </w:style>
  <w:style w:type="character" w:styleId="Im" w:customStyle="1">
    <w:name w:val="im"/>
    <w:basedOn w:val="DefaultParagraphFont"/>
    <w:qFormat/>
    <w:rsid w:val="00774d81"/>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Normal"/>
    <w:semiHidden/>
    <w:unhideWhenUsed/>
    <w:pPr>
      <w:ind w:left="360" w:hanging="360"/>
    </w:pPr>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Piedpage" w:customStyle="1">
    <w:name w:val="Pied_page"/>
    <w:basedOn w:val="01Paragraphe"/>
    <w:qFormat/>
    <w:rsid w:val="00f0251a"/>
    <w:pPr>
      <w:jc w:val="center"/>
    </w:pPr>
    <w:rPr>
      <w:smallCaps/>
      <w:color w:val="808080"/>
      <w:sz w:val="20"/>
    </w:rPr>
  </w:style>
  <w:style w:type="paragraph" w:styleId="PiedPageNum" w:customStyle="1">
    <w:name w:val="Pied_Page_Num"/>
    <w:basedOn w:val="Piedpage"/>
    <w:qFormat/>
    <w:rsid w:val="00f0251a"/>
    <w:pPr>
      <w:jc w:val="left"/>
    </w:pPr>
    <w:rPr/>
  </w:style>
  <w:style w:type="paragraph" w:styleId="06Lieu" w:customStyle="1">
    <w:name w:val="06_Lieu"/>
    <w:qFormat/>
    <w:rsid w:val="0097405e"/>
    <w:pPr>
      <w:widowControl/>
      <w:pBdr>
        <w:top w:val="single" w:sz="8" w:space="1" w:color="003399"/>
        <w:left w:val="single" w:sz="8" w:space="4" w:color="003399"/>
        <w:bottom w:val="single" w:sz="8" w:space="1" w:color="003399"/>
        <w:right w:val="single" w:sz="8" w:space="4" w:color="003399"/>
      </w:pBdr>
      <w:suppressAutoHyphens w:val="true"/>
      <w:bidi w:val="0"/>
      <w:spacing w:before="120" w:after="0"/>
      <w:ind w:left="567" w:right="595" w:hanging="0"/>
      <w:contextualSpacing/>
      <w:jc w:val="center"/>
    </w:pPr>
    <w:rPr>
      <w:rFonts w:ascii="Calibri" w:hAnsi="Calibri" w:eastAsia="Tw Cen MT" w:cs="Times New Roman" w:asciiTheme="minorHAnsi" w:hAnsiTheme="minorHAnsi"/>
      <w:b/>
      <w:color w:val="003399"/>
      <w:kern w:val="2"/>
      <w:sz w:val="22"/>
      <w:szCs w:val="36"/>
      <w:lang w:val="fr-FR" w:eastAsia="fr-FR" w:bidi="ar-SA"/>
    </w:rPr>
  </w:style>
  <w:style w:type="paragraph" w:styleId="Titreprincipal">
    <w:name w:val="Title"/>
    <w:link w:val="TitreCar"/>
    <w:uiPriority w:val="10"/>
    <w:qFormat/>
    <w:rsid w:val="00b71bb3"/>
    <w:pPr>
      <w:widowControl/>
      <w:suppressAutoHyphens w:val="true"/>
      <w:bidi w:val="0"/>
      <w:spacing w:before="0" w:after="0"/>
      <w:jc w:val="left"/>
    </w:pPr>
    <w:rPr>
      <w:rFonts w:ascii="Cambria" w:hAnsi="Cambria" w:eastAsia="Tw Cen MT" w:cs="Times New Roman"/>
      <w:color w:val="auto"/>
      <w:kern w:val="2"/>
      <w:sz w:val="120"/>
      <w:szCs w:val="72"/>
      <w:lang w:val="fr-FR" w:eastAsia="fr-FR" w:bidi="ar-SA"/>
    </w:rPr>
  </w:style>
  <w:style w:type="paragraph" w:styleId="BalloonText">
    <w:name w:val="Balloon Text"/>
    <w:basedOn w:val="Normal"/>
    <w:link w:val="TextedebullesCar"/>
    <w:uiPriority w:val="99"/>
    <w:semiHidden/>
    <w:unhideWhenUsed/>
    <w:qFormat/>
    <w:pPr/>
    <w:rPr>
      <w:rFonts w:ascii="Tahoma" w:hAnsi="Tahoma" w:cs="Tahoma"/>
      <w:sz w:val="16"/>
      <w:szCs w:val="16"/>
    </w:rPr>
  </w:style>
  <w:style w:type="paragraph" w:styleId="ListBullet3">
    <w:name w:val="List Bullet 3"/>
    <w:basedOn w:val="Normal"/>
    <w:uiPriority w:val="99"/>
    <w:semiHidden/>
    <w:unhideWhenUsed/>
    <w:qFormat/>
    <w:pPr>
      <w:ind w:left="720" w:hanging="360"/>
    </w:pPr>
    <w:rPr/>
  </w:style>
  <w:style w:type="paragraph" w:styleId="Tableofauthorities">
    <w:name w:val="table of authorities"/>
    <w:basedOn w:val="Normal"/>
    <w:next w:val="Normal"/>
    <w:uiPriority w:val="99"/>
    <w:semiHidden/>
    <w:unhideWhenUsed/>
    <w:qFormat/>
    <w:pPr>
      <w:ind w:left="220" w:hanging="220"/>
    </w:pPr>
    <w:rPr/>
  </w:style>
  <w:style w:type="paragraph" w:styleId="Tabledesmatiresniveau1">
    <w:name w:val="TOC 1"/>
    <w:basedOn w:val="Normal"/>
    <w:next w:val="Normal"/>
    <w:autoRedefine/>
    <w:uiPriority w:val="39"/>
    <w:unhideWhenUsed/>
    <w:pPr>
      <w:spacing w:before="120" w:after="0"/>
    </w:pPr>
    <w:rPr>
      <w:rFonts w:ascii="Tw Cen MT" w:hAnsi="Tw Cen MT"/>
      <w:b/>
      <w:bCs/>
      <w:i/>
      <w:iCs/>
      <w:sz w:val="24"/>
      <w:szCs w:val="24"/>
    </w:rPr>
  </w:style>
  <w:style w:type="paragraph" w:styleId="Tabledesmatiresniveau2">
    <w:name w:val="TOC 2"/>
    <w:basedOn w:val="Normal"/>
    <w:next w:val="Normal"/>
    <w:autoRedefine/>
    <w:uiPriority w:val="39"/>
    <w:unhideWhenUsed/>
    <w:rsid w:val="004d6d77"/>
    <w:pPr>
      <w:spacing w:before="120" w:after="0"/>
      <w:ind w:left="220" w:hanging="0"/>
    </w:pPr>
    <w:rPr>
      <w:rFonts w:ascii="Tw Cen MT" w:hAnsi="Tw Cen MT"/>
      <w:bCs/>
      <w:color w:val="003399"/>
      <w:szCs w:val="22"/>
    </w:rPr>
  </w:style>
  <w:style w:type="paragraph" w:styleId="Tabledesmatiresniveau3">
    <w:name w:val="TOC 3"/>
    <w:basedOn w:val="Normal"/>
    <w:next w:val="Normal"/>
    <w:autoRedefine/>
    <w:uiPriority w:val="39"/>
    <w:unhideWhenUsed/>
    <w:pPr>
      <w:spacing w:before="0" w:after="0"/>
      <w:ind w:left="440" w:hanging="0"/>
    </w:pPr>
    <w:rPr>
      <w:rFonts w:ascii="Tw Cen MT" w:hAnsi="Tw Cen MT"/>
      <w:sz w:val="20"/>
    </w:rPr>
  </w:style>
  <w:style w:type="paragraph" w:styleId="Tabledesmatiresniveau4">
    <w:name w:val="TOC 4"/>
    <w:basedOn w:val="Normal"/>
    <w:next w:val="Normal"/>
    <w:autoRedefine/>
    <w:uiPriority w:val="39"/>
    <w:unhideWhenUsed/>
    <w:pPr>
      <w:spacing w:before="0" w:after="0"/>
      <w:ind w:left="660" w:hanging="0"/>
    </w:pPr>
    <w:rPr>
      <w:rFonts w:ascii="Tw Cen MT" w:hAnsi="Tw Cen MT"/>
      <w:sz w:val="20"/>
    </w:rPr>
  </w:style>
  <w:style w:type="paragraph" w:styleId="Tabledesmatiresniveau5">
    <w:name w:val="TOC 5"/>
    <w:basedOn w:val="Normal"/>
    <w:next w:val="Normal"/>
    <w:autoRedefine/>
    <w:uiPriority w:val="39"/>
    <w:unhideWhenUsed/>
    <w:pPr>
      <w:spacing w:before="0" w:after="0"/>
      <w:ind w:left="880" w:hanging="0"/>
    </w:pPr>
    <w:rPr>
      <w:rFonts w:ascii="Tw Cen MT" w:hAnsi="Tw Cen MT"/>
      <w:sz w:val="20"/>
    </w:rPr>
  </w:style>
  <w:style w:type="paragraph" w:styleId="Tabledesmatiresniveau6">
    <w:name w:val="TOC 6"/>
    <w:basedOn w:val="Normal"/>
    <w:next w:val="Normal"/>
    <w:autoRedefine/>
    <w:uiPriority w:val="39"/>
    <w:unhideWhenUsed/>
    <w:pPr>
      <w:spacing w:before="0" w:after="0"/>
      <w:ind w:left="1100" w:hanging="0"/>
    </w:pPr>
    <w:rPr>
      <w:rFonts w:ascii="Tw Cen MT" w:hAnsi="Tw Cen MT"/>
      <w:sz w:val="20"/>
    </w:rPr>
  </w:style>
  <w:style w:type="paragraph" w:styleId="Tabledesmatiresniveau7">
    <w:name w:val="TOC 7"/>
    <w:basedOn w:val="Normal"/>
    <w:next w:val="Normal"/>
    <w:autoRedefine/>
    <w:uiPriority w:val="39"/>
    <w:unhideWhenUsed/>
    <w:pPr>
      <w:spacing w:before="0" w:after="0"/>
      <w:ind w:left="1320" w:hanging="0"/>
    </w:pPr>
    <w:rPr>
      <w:rFonts w:ascii="Tw Cen MT" w:hAnsi="Tw Cen MT"/>
      <w:sz w:val="20"/>
    </w:rPr>
  </w:style>
  <w:style w:type="paragraph" w:styleId="Tabledesmatiresniveau8">
    <w:name w:val="TOC 8"/>
    <w:basedOn w:val="Normal"/>
    <w:next w:val="Normal"/>
    <w:autoRedefine/>
    <w:uiPriority w:val="39"/>
    <w:unhideWhenUsed/>
    <w:pPr>
      <w:spacing w:before="0" w:after="0"/>
      <w:ind w:left="1540" w:hanging="0"/>
    </w:pPr>
    <w:rPr>
      <w:rFonts w:ascii="Tw Cen MT" w:hAnsi="Tw Cen MT"/>
      <w:sz w:val="20"/>
    </w:rPr>
  </w:style>
  <w:style w:type="paragraph" w:styleId="Tabledesmatiresniveau9">
    <w:name w:val="TOC 9"/>
    <w:basedOn w:val="Normal"/>
    <w:next w:val="Normal"/>
    <w:autoRedefine/>
    <w:uiPriority w:val="39"/>
    <w:unhideWhenUsed/>
    <w:pPr>
      <w:spacing w:before="0" w:after="0"/>
      <w:ind w:left="1760" w:hanging="0"/>
    </w:pPr>
    <w:rPr>
      <w:rFonts w:ascii="Tw Cen MT" w:hAnsi="Tw Cen MT"/>
      <w:sz w:val="20"/>
    </w:rPr>
  </w:style>
  <w:style w:type="paragraph" w:styleId="01Paragraphe" w:customStyle="1">
    <w:name w:val="01_Paragraphe"/>
    <w:qFormat/>
    <w:rsid w:val="000f1ca4"/>
    <w:pPr>
      <w:widowControl/>
      <w:suppressAutoHyphens w:val="true"/>
      <w:bidi w:val="0"/>
      <w:spacing w:before="60" w:after="0"/>
      <w:ind w:left="284" w:hanging="0"/>
      <w:jc w:val="left"/>
    </w:pPr>
    <w:rPr>
      <w:rFonts w:ascii="Calibri" w:hAnsi="Calibri" w:eastAsia="Times New Roman" w:cs="Times New Roman"/>
      <w:color w:val="auto"/>
      <w:kern w:val="2"/>
      <w:sz w:val="22"/>
      <w:szCs w:val="96"/>
      <w:lang w:val="fr-FR" w:eastAsia="fr-FR" w:bidi="ar-SA"/>
    </w:rPr>
  </w:style>
  <w:style w:type="paragraph" w:styleId="02GPara" w:customStyle="1">
    <w:name w:val="02_G_Para"/>
    <w:basedOn w:val="01Paragraphe"/>
    <w:qFormat/>
    <w:rsid w:val="004d6d77"/>
    <w:pPr/>
    <w:rPr>
      <w:b/>
    </w:rPr>
  </w:style>
  <w:style w:type="paragraph" w:styleId="03GSPara" w:customStyle="1">
    <w:name w:val="03_GS_Para"/>
    <w:basedOn w:val="01Paragraphe"/>
    <w:qFormat/>
    <w:rsid w:val="00234111"/>
    <w:pPr/>
    <w:rPr>
      <w:b/>
      <w:u w:val="single"/>
    </w:rPr>
  </w:style>
  <w:style w:type="paragraph" w:styleId="04CPara" w:customStyle="1">
    <w:name w:val="04_C_Para"/>
    <w:basedOn w:val="01Paragraphe"/>
    <w:qFormat/>
    <w:rsid w:val="00234111"/>
    <w:pPr>
      <w:jc w:val="center"/>
    </w:pPr>
    <w:rPr/>
  </w:style>
  <w:style w:type="paragraph" w:styleId="05GCPara" w:customStyle="1">
    <w:name w:val="05_GC_Para"/>
    <w:basedOn w:val="01Paragraphe"/>
    <w:qFormat/>
    <w:rsid w:val="00234111"/>
    <w:pPr>
      <w:jc w:val="center"/>
    </w:pPr>
    <w:rPr>
      <w:b/>
    </w:rPr>
  </w:style>
  <w:style w:type="paragraph" w:styleId="22Puces" w:customStyle="1">
    <w:name w:val="22_Puces"/>
    <w:basedOn w:val="21Puces"/>
    <w:qFormat/>
    <w:rsid w:val="00655ffd"/>
    <w:pPr>
      <w:tabs>
        <w:tab w:val="clear" w:pos="1701"/>
        <w:tab w:val="left" w:pos="2127" w:leader="none"/>
      </w:tabs>
      <w:ind w:left="2127" w:hanging="0"/>
    </w:pPr>
    <w:rPr/>
  </w:style>
  <w:style w:type="paragraph" w:styleId="21Puces" w:customStyle="1">
    <w:name w:val="21_Puces"/>
    <w:basedOn w:val="01Paragraphe"/>
    <w:qFormat/>
    <w:rsid w:val="001364b0"/>
    <w:pPr>
      <w:numPr>
        <w:ilvl w:val="0"/>
        <w:numId w:val="1"/>
      </w:numPr>
      <w:tabs>
        <w:tab w:val="clear" w:pos="720"/>
        <w:tab w:val="left" w:pos="1701" w:leader="none"/>
      </w:tabs>
      <w:spacing w:before="60" w:after="0"/>
      <w:ind w:left="851" w:hanging="284"/>
      <w:contextualSpacing/>
    </w:pPr>
    <w:rPr/>
  </w:style>
  <w:style w:type="paragraph" w:styleId="31Tableau" w:customStyle="1">
    <w:name w:val="31_Tableau"/>
    <w:basedOn w:val="Normal"/>
    <w:qFormat/>
    <w:rsid w:val="0061310d"/>
    <w:pPr>
      <w:suppressAutoHyphens w:val="true"/>
      <w:spacing w:lineRule="auto" w:line="240" w:before="60" w:after="60"/>
    </w:pPr>
    <w:rPr>
      <w:rFonts w:eastAsia="Calibri" w:cs="Calibri"/>
      <w:kern w:val="0"/>
      <w:szCs w:val="22"/>
    </w:rPr>
  </w:style>
  <w:style w:type="paragraph" w:styleId="32GTableau" w:customStyle="1">
    <w:name w:val="32_G_Tableau"/>
    <w:basedOn w:val="31Tableau"/>
    <w:qFormat/>
    <w:rsid w:val="00e87b07"/>
    <w:pPr/>
    <w:rPr>
      <w:b/>
    </w:rPr>
  </w:style>
  <w:style w:type="paragraph" w:styleId="00Ligneetroite" w:customStyle="1">
    <w:name w:val="00 Ligne etroite"/>
    <w:basedOn w:val="Normal"/>
    <w:qFormat/>
    <w:rsid w:val="0061310d"/>
    <w:pPr>
      <w:spacing w:lineRule="auto" w:line="240" w:before="0" w:after="0"/>
      <w:ind w:left="284" w:hanging="0"/>
    </w:pPr>
    <w:rPr>
      <w:kern w:val="0"/>
      <w:sz w:val="12"/>
      <w:lang w:eastAsia="en-US"/>
    </w:rPr>
  </w:style>
  <w:style w:type="paragraph" w:styleId="30TTableau" w:customStyle="1">
    <w:name w:val="30_T_Tableau"/>
    <w:basedOn w:val="31Tableau"/>
    <w:qFormat/>
    <w:rsid w:val="007a7ffe"/>
    <w:pPr/>
    <w:rPr>
      <w:b/>
      <w:color w:val="FFFFFF"/>
    </w:rPr>
  </w:style>
  <w:style w:type="paragraph" w:styleId="Annotationtext">
    <w:name w:val="annotation text"/>
    <w:basedOn w:val="Normal"/>
    <w:link w:val="CommentaireCar"/>
    <w:uiPriority w:val="99"/>
    <w:semiHidden/>
    <w:unhideWhenUsed/>
    <w:qFormat/>
    <w:rsid w:val="00036c87"/>
    <w:pPr>
      <w:spacing w:lineRule="auto" w:line="240"/>
    </w:pPr>
    <w:rPr>
      <w:rFonts w:ascii="Tw Cen MT" w:hAnsi="Tw Cen MT"/>
      <w:color w:val="404040"/>
      <w:kern w:val="0"/>
      <w:sz w:val="20"/>
      <w:lang w:eastAsia="en-US"/>
    </w:rPr>
  </w:style>
  <w:style w:type="paragraph" w:styleId="Annotationsubject">
    <w:name w:val="annotation subject"/>
    <w:basedOn w:val="Annotationtext"/>
    <w:next w:val="Annotationtext"/>
    <w:link w:val="ObjetducommentaireCar"/>
    <w:uiPriority w:val="99"/>
    <w:semiHidden/>
    <w:unhideWhenUsed/>
    <w:qFormat/>
    <w:rsid w:val="00036c87"/>
    <w:pPr/>
    <w:rPr>
      <w:b/>
      <w:bCs/>
    </w:rPr>
  </w:style>
  <w:style w:type="paragraph" w:styleId="NormalWeb">
    <w:name w:val="Normal (Web)"/>
    <w:basedOn w:val="Normal"/>
    <w:uiPriority w:val="99"/>
    <w:semiHidden/>
    <w:unhideWhenUsed/>
    <w:qFormat/>
    <w:rsid w:val="00036c87"/>
    <w:pPr>
      <w:spacing w:lineRule="auto" w:line="240" w:beforeAutospacing="1" w:afterAutospacing="1"/>
    </w:pPr>
    <w:rPr>
      <w:rFonts w:ascii="Times New Roman" w:hAnsi="Times New Roman" w:eastAsia="Times New Roman"/>
      <w:kern w:val="0"/>
      <w:sz w:val="24"/>
      <w:szCs w:val="24"/>
    </w:rPr>
  </w:style>
  <w:style w:type="paragraph" w:styleId="IntenseQuote">
    <w:name w:val="Intense Quote"/>
    <w:basedOn w:val="01Paragraphe"/>
    <w:link w:val="CitationintenseCar"/>
    <w:uiPriority w:val="30"/>
    <w:qFormat/>
    <w:rsid w:val="00f05cef"/>
    <w:pPr>
      <w:pBdr>
        <w:top w:val="double" w:sz="12" w:space="10" w:color="003399"/>
        <w:left w:val="double" w:sz="12" w:space="10" w:color="003399"/>
        <w:bottom w:val="double" w:sz="12" w:space="10" w:color="003399"/>
        <w:right w:val="double" w:sz="12" w:space="10" w:color="003399"/>
      </w:pBdr>
      <w:shd w:val="clear" w:color="auto" w:fill="FFFFFF"/>
      <w:spacing w:before="0" w:after="0"/>
      <w:ind w:left="567" w:right="595" w:hanging="0"/>
      <w:jc w:val="center"/>
    </w:pPr>
    <w:rPr>
      <w:b/>
      <w:color w:val="003399"/>
    </w:rPr>
  </w:style>
  <w:style w:type="paragraph" w:styleId="Entteetpieddepage">
    <w:name w:val="En-tête et pied de page"/>
    <w:basedOn w:val="Normal"/>
    <w:qFormat/>
    <w:pPr/>
    <w:rPr/>
  </w:style>
  <w:style w:type="paragraph" w:styleId="Entte">
    <w:name w:val="Header"/>
    <w:basedOn w:val="Piedpage"/>
    <w:link w:val="En-tteCar"/>
    <w:uiPriority w:val="99"/>
    <w:unhideWhenUsed/>
    <w:qFormat/>
    <w:rsid w:val="002e146c"/>
    <w:pPr>
      <w:tabs>
        <w:tab w:val="clear" w:pos="720"/>
        <w:tab w:val="right" w:pos="9781" w:leader="none"/>
      </w:tabs>
      <w:ind w:left="0" w:hanging="0"/>
      <w:jc w:val="right"/>
    </w:pPr>
    <w:rPr/>
  </w:style>
  <w:style w:type="paragraph" w:styleId="Default" w:customStyle="1">
    <w:name w:val="Default"/>
    <w:qFormat/>
    <w:rsid w:val="0090232f"/>
    <w:pPr>
      <w:widowControl/>
      <w:suppressAutoHyphens w:val="true"/>
      <w:bidi w:val="0"/>
      <w:spacing w:before="0" w:after="0"/>
      <w:jc w:val="left"/>
    </w:pPr>
    <w:rPr>
      <w:rFonts w:ascii="Arial" w:hAnsi="Arial" w:eastAsia="Tw Cen MT" w:cs="Arial"/>
      <w:color w:val="000000"/>
      <w:kern w:val="0"/>
      <w:sz w:val="24"/>
      <w:szCs w:val="24"/>
      <w:lang w:val="fr-FR" w:eastAsia="fr-FR" w:bidi="ar-SA"/>
    </w:rPr>
  </w:style>
  <w:style w:type="paragraph" w:styleId="Revision">
    <w:name w:val="Revision"/>
    <w:uiPriority w:val="99"/>
    <w:semiHidden/>
    <w:qFormat/>
    <w:rsid w:val="004061af"/>
    <w:pPr>
      <w:widowControl/>
      <w:suppressAutoHyphens w:val="true"/>
      <w:bidi w:val="0"/>
      <w:spacing w:before="0" w:after="0"/>
      <w:jc w:val="left"/>
    </w:pPr>
    <w:rPr>
      <w:rFonts w:ascii="Calibri" w:hAnsi="Calibri" w:eastAsia="Tw Cen MT" w:cs="Times New Roman"/>
      <w:color w:val="auto"/>
      <w:kern w:val="2"/>
      <w:sz w:val="22"/>
      <w:szCs w:val="20"/>
      <w:lang w:val="fr-FR" w:eastAsia="fr-FR" w:bidi="ar-SA"/>
    </w:rPr>
  </w:style>
  <w:style w:type="paragraph" w:styleId="04CParag" w:customStyle="1">
    <w:name w:val="04 C Parag"/>
    <w:basedOn w:val="Normal"/>
    <w:qFormat/>
    <w:rsid w:val="00d26273"/>
    <w:pPr>
      <w:suppressAutoHyphens w:val="true"/>
      <w:spacing w:lineRule="auto" w:line="240" w:before="60" w:after="0"/>
      <w:ind w:left="142" w:hanging="0"/>
      <w:contextualSpacing/>
      <w:jc w:val="center"/>
    </w:pPr>
    <w:rPr>
      <w:rFonts w:eastAsia="Calibri" w:cs="Calibri"/>
      <w:kern w:val="0"/>
      <w:szCs w:val="22"/>
    </w:rPr>
  </w:style>
  <w:style w:type="paragraph" w:styleId="12GModif" w:customStyle="1">
    <w:name w:val="12_G_Modif"/>
    <w:basedOn w:val="Normal"/>
    <w:qFormat/>
    <w:rsid w:val="00644639"/>
    <w:pPr>
      <w:spacing w:lineRule="auto" w:line="240" w:before="60" w:after="0"/>
      <w:ind w:left="284" w:hanging="0"/>
      <w:contextualSpacing/>
    </w:pPr>
    <w:rPr>
      <w:rFonts w:eastAsia="Times New Roman"/>
      <w:b/>
      <w:color w:val="CC0000"/>
      <w:szCs w:val="96"/>
    </w:rPr>
  </w:style>
  <w:style w:type="paragraph" w:styleId="01Paragraphe1" w:customStyle="1">
    <w:name w:val="01 Paragraphe"/>
    <w:basedOn w:val="Normal"/>
    <w:qFormat/>
    <w:rsid w:val="00f0200c"/>
    <w:pPr>
      <w:suppressAutoHyphens w:val="true"/>
      <w:spacing w:lineRule="auto" w:line="240" w:before="60" w:after="0"/>
      <w:ind w:left="142" w:hanging="0"/>
      <w:contextualSpacing/>
    </w:pPr>
    <w:rPr>
      <w:rFonts w:eastAsia="Calibri" w:cs="Calibri"/>
      <w:kern w:val="0"/>
      <w:szCs w:val="22"/>
    </w:rPr>
  </w:style>
  <w:style w:type="paragraph" w:styleId="11Puce" w:customStyle="1">
    <w:name w:val="11 Puce"/>
    <w:basedOn w:val="01Paragraphe1"/>
    <w:qFormat/>
    <w:rsid w:val="00774d81"/>
    <w:pPr>
      <w:numPr>
        <w:ilvl w:val="0"/>
        <w:numId w:val="2"/>
      </w:numPr>
      <w:tabs>
        <w:tab w:val="clear" w:pos="720"/>
        <w:tab w:val="left" w:pos="709" w:leader="none"/>
        <w:tab w:val="left" w:pos="2835" w:leader="none"/>
      </w:tabs>
    </w:pPr>
    <w:rPr>
      <w:szCs w:val="14"/>
    </w:rPr>
  </w:style>
  <w:style w:type="paragraph" w:styleId="02GParag" w:customStyle="1">
    <w:name w:val="02 G Parag"/>
    <w:basedOn w:val="01Paragraphe1"/>
    <w:qFormat/>
    <w:rsid w:val="00f0200c"/>
    <w:pPr>
      <w:ind w:left="0" w:hanging="0"/>
    </w:pPr>
    <w:rPr>
      <w:b/>
      <w:u w:val="single"/>
    </w:rPr>
  </w:style>
  <w:style w:type="paragraph" w:styleId="ListParagraph">
    <w:name w:val="List Paragraph"/>
    <w:basedOn w:val="Normal"/>
    <w:uiPriority w:val="34"/>
    <w:qFormat/>
    <w:rsid w:val="00222c5b"/>
    <w:pPr>
      <w:spacing w:lineRule="auto" w:line="240" w:before="0" w:after="0"/>
      <w:ind w:left="720" w:hanging="0"/>
      <w:contextualSpacing/>
    </w:pPr>
    <w:rPr>
      <w:rFonts w:ascii="Times New Roman" w:hAnsi="Times New Roman" w:eastAsia="Times New Roman"/>
      <w:kern w:val="0"/>
      <w:sz w:val="24"/>
      <w:szCs w:val="24"/>
    </w:rPr>
  </w:style>
  <w:style w:type="paragraph" w:styleId="NoSpacing">
    <w:name w:val="No Spacing"/>
    <w:uiPriority w:val="1"/>
    <w:qFormat/>
    <w:rsid w:val="003e16a5"/>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Pieddepage">
    <w:name w:val="Footer"/>
    <w:basedOn w:val="Normal"/>
    <w:link w:val="PieddepageCar"/>
    <w:uiPriority w:val="99"/>
    <w:unhideWhenUsed/>
    <w:qFormat/>
    <w:rsid w:val="004208a6"/>
    <w:pPr>
      <w:tabs>
        <w:tab w:val="clear" w:pos="720"/>
        <w:tab w:val="center" w:pos="4536" w:leader="none"/>
        <w:tab w:val="right" w:pos="9072" w:leader="none"/>
      </w:tabs>
      <w:spacing w:lineRule="auto" w:line="240" w:before="0" w:after="0"/>
    </w:pPr>
    <w:rPr/>
  </w:style>
  <w:style w:type="paragraph" w:styleId="05CGParag" w:customStyle="1">
    <w:name w:val="05 CG Parag"/>
    <w:basedOn w:val="04CParag"/>
    <w:qFormat/>
    <w:rsid w:val="00123db5"/>
    <w:pPr/>
    <w:rPr>
      <w:b/>
    </w:rPr>
  </w:style>
  <w:style w:type="paragraph" w:styleId="10Commentaire" w:customStyle="1">
    <w:name w:val="10 Commentaire"/>
    <w:basedOn w:val="01Paragraphe1"/>
    <w:qFormat/>
    <w:rsid w:val="000e6e69"/>
    <w:pPr/>
    <w:rPr>
      <w:b/>
      <w:u w:val="single"/>
    </w:rPr>
  </w:style>
  <w:style w:type="numbering" w:styleId="NoList" w:default="1">
    <w:name w:val="No List"/>
    <w:uiPriority w:val="99"/>
    <w:semiHidden/>
    <w:unhideWhenUsed/>
    <w:qFormat/>
  </w:style>
  <w:style w:type="numbering" w:styleId="Styledelistecentral" w:customStyle="1">
    <w:name w:val="Style de liste central"/>
    <w:uiPriority w:val="99"/>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aufinancier">
    <w:name w:val="Tableau financier"/>
    <w:basedOn w:val="TableauNormal"/>
    <w:uiPriority w:val="99"/>
    <w:rsid w:val="00036c87"/>
    <w:pPr>
      <w:spacing w:before="60" w:after="60"/>
    </w:pPr>
    <w:rPr>
      <w:lang w:val="en-US" w:eastAsia="en-US"/>
      <w:color w:val="404040"/>
    </w:rPr>
    <w:tblPr>
      <w:tblBorders>
        <w:top w:val="single" w:color="000000" w:sz="8" w:space="0"/>
        <w:left w:val="single" w:color="000000" w:sz="8" w:space="0"/>
        <w:bottom w:val="single" w:color="000000" w:sz="24" w:space="0"/>
        <w:right w:val="single" w:color="000000" w:sz="8" w:space="0"/>
        <w:insideH w:val="single" w:color="000000" w:sz="8" w:space="0"/>
        <w:insideV w:val="single" w:color="000000" w:sz="8" w:space="0"/>
      </w:tblBorders>
      <w:tblCellMar>
        <w:left w:w="72" w:type="dxa"/>
        <w:right w:w="72" w:type="dxa"/>
      </w:tblCellMar>
    </w:tblPr>
    <w:tblStylePr w:type="firstRow">
      <w:pPr>
        <w:wordWrap/>
        <w:spacing w:beforeLines="0" w:afterLines="0"/>
        <w:jc w:val="left"/>
      </w:pPr>
      <w:rPr>
        <w:b/>
        <w:i w:val="0"/>
        <w:caps w:val="0"/>
        <w:smallCaps w:val="0"/>
        <w:color w:val="000000"/>
        <w:sz w:val="22"/>
      </w:rPr>
      <w:tblPr/>
    </w:tblStylePr>
    <w:tblStylePr w:type="firstCol">
      <w:rPr>
        <w:b/>
        <w:color w:val="000000"/>
      </w:rPr>
      <w:tblPr/>
    </w:tblStylePr>
  </w:style>
  <w:style w:type="table" w:customStyle="1" w:styleId="Ombrageclair1">
    <w:name w:val="Ombrage clair1"/>
    <w:basedOn w:val="TableauNormal"/>
    <w:uiPriority w:val="60"/>
    <w:rsid w:val="00036c87"/>
    <w:rPr>
      <w:lang w:val="en-US" w:eastAsia="en-US"/>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2022-01-03T00:00:00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A7D67-D648-4B75-A4AF-60AAA0A38EA2}">
  <ds:schemaRefs>
    <ds:schemaRef ds:uri="http://schemas.microsoft.com/sharepoint/v3/contenttype/form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6F7004F8-A1B8-4328-BC45-20A9930D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Médian).dotx</Template>
  <TotalTime>2</TotalTime>
  <Application>LibreOffice/7.2.2.2$Windows_X86_64 LibreOffice_project/02b2acce88a210515b4a5bb2e46cbfb63fe97d56</Application>
  <AppVersion>15.0000</AppVersion>
  <Pages>3</Pages>
  <Words>838</Words>
  <Characters>3957</Characters>
  <CharactersWithSpaces>4747</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2022-01-05T15:26:00Z</dcterms:created>
  <dc:creator>Marc BATTISTELLA</dc:creator>
  <dc:description/>
  <dc:language>fr-FR</dc:language>
  <cp:lastModifiedBy/>
  <cp:lastPrinted>2022-01-02T10:56:00Z</cp:lastPrinted>
  <dcterms:modified xsi:type="dcterms:W3CDTF">2022-01-12T12:19:30Z</dcterms:modified>
  <cp:revision>5</cp:revision>
  <dc:subject>Ligue de Golf Auvergne-Rhône-Alpes</dc:subject>
  <dc:title>Vademecum Ligue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